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E45" w:rsidRPr="00FE4B89" w:rsidRDefault="007A7E45" w:rsidP="00FE4B89"/>
    <w:p w:rsidR="006D79F3" w:rsidRDefault="00067C92">
      <w:pPr>
        <w:pStyle w:val="Heading2"/>
      </w:pPr>
      <w:r>
        <w:t>06030 Agencija za plaćanja u poljoprivredi, ribarstvu i ruralnom razvoju</w:t>
      </w:r>
    </w:p>
    <w:p w:rsidR="006D79F3" w:rsidRDefault="00067C92">
      <w:pPr>
        <w:pStyle w:val="Normal3"/>
      </w:pPr>
      <w:r>
        <w:t xml:space="preserve">Agencija za plaćanja u poljoprivredi, ribarstvu i ruralnom razvoju (APPRRR) osnovana je Zakonom o osnivanju Agencije za plaćanja Agencije za plaćanja u poljoprivredi, ribarstvu i ruralnom razvoju (NN30/09, 56/13). </w:t>
      </w:r>
    </w:p>
    <w:p w:rsidR="006D79F3" w:rsidRDefault="00067C92">
      <w:pPr>
        <w:pStyle w:val="Normal3"/>
      </w:pPr>
      <w:r>
        <w:t xml:space="preserve">Agencija za plaćanja u poljoprivredi, ribarstvu i ruralnom razvoju je javno tijelo nadležno za operativnu provedbu intervencija izravne potpore, intervencija ruralnog razvoja, mjera za pomorstvo i ribarstvo (u dijelu delegiranih funkcija), sektorskih intervencija, nacionalnih programa potpore i ostalih tržišnih potpora, za vođenje upisnika i registara te održavanje i korištenje Integriranog administrativnog i kontrolnog sustava (IAKS) preko kojeg se zaprimaju, obrađuju i kontroliraju izravna plaćanja poljoprivrednicima.  </w:t>
      </w:r>
    </w:p>
    <w:p w:rsidR="006D79F3" w:rsidRDefault="00067C92">
      <w:pPr>
        <w:pStyle w:val="Normal3"/>
      </w:pPr>
      <w:r>
        <w:t xml:space="preserve">Provedba ZPP-a utemeljena je na Strateškom planu Zajedničke poljoprivredne politike Republike Hrvatske 2023.-2027. godine koji predstavlja nacionalni dokument i osigurava potporu iz europskih poljoprivrednih fondova. Provedbom Strateškog plana Zajedničke poljoprivredne politike Republike Hrvatske 2023.-2027. godine nastoji se osigurati doprinos ciljevima Europskog zelenog plana uključujući Strategiju za bioraznolikost te strategiju Od polja do stola. Glavne zadaće APPRRR-a u spomenutom procesu jesu pravovremena objava novih natječaja, kao i obrada već pristiglih zahtjeva u sklopu Programa ruralnog razvoja, obrada zahtjeva za intervencije izravne potpore i IAKS mjere ruralnog razvoja (Jedinstveni zahtjev), obrada zahtjeva za sektorske intervencije, nacionalne programe potpore i ostale tržišne potpore, kontinuirana provedba kontrola na terenu te pravovremena isplata svih potpora.  </w:t>
      </w:r>
    </w:p>
    <w:p w:rsidR="006D79F3" w:rsidRDefault="00067C92">
      <w:pPr>
        <w:pStyle w:val="Normal3"/>
      </w:pPr>
      <w:r>
        <w:t xml:space="preserve"> </w:t>
      </w:r>
    </w:p>
    <w:p w:rsidR="006D79F3" w:rsidRDefault="00067C92">
      <w:pPr>
        <w:pStyle w:val="Normal3"/>
      </w:pPr>
      <w:r>
        <w:t xml:space="preserve">U suradnji s Ministarstvom poljoprivrede APPRRR provodi mjere Zajedničke poljoprivredne politike i Zajedničke ribarstvene politike koje se financiraju iz proračuna Europske unije i državnog proračuna Republike Hrvatske te je dio sustava upravljanja i kontrole sljedećih EU fondova: </w:t>
      </w:r>
    </w:p>
    <w:p w:rsidR="006D79F3" w:rsidRDefault="00067C92">
      <w:pPr>
        <w:pStyle w:val="Normal3"/>
      </w:pPr>
      <w:r>
        <w:t>•</w:t>
      </w:r>
      <w:r>
        <w:tab/>
        <w:t xml:space="preserve">Europski fond za jamstva u poljoprivredi (EFJP), </w:t>
      </w:r>
    </w:p>
    <w:p w:rsidR="006D79F3" w:rsidRDefault="00067C92">
      <w:pPr>
        <w:pStyle w:val="Normal3"/>
      </w:pPr>
      <w:r>
        <w:t>•</w:t>
      </w:r>
      <w:r>
        <w:tab/>
        <w:t xml:space="preserve">Europski poljoprivredni fond za ruralni razvoj (EPFRR), </w:t>
      </w:r>
    </w:p>
    <w:p w:rsidR="006D79F3" w:rsidRDefault="00067C92">
      <w:pPr>
        <w:pStyle w:val="Normal3"/>
      </w:pPr>
      <w:r>
        <w:t>•</w:t>
      </w:r>
      <w:r>
        <w:tab/>
        <w:t xml:space="preserve">Europski fond za pomorstvo i ribarstvo (EFPR), </w:t>
      </w:r>
    </w:p>
    <w:p w:rsidR="006D79F3" w:rsidRDefault="00067C92">
      <w:pPr>
        <w:pStyle w:val="Normal3"/>
      </w:pPr>
      <w:r>
        <w:t>•</w:t>
      </w:r>
      <w:r>
        <w:tab/>
        <w:t xml:space="preserve">Europski fond za pomorstvo, ribarstvo i akvakulturu (EFPRA). </w:t>
      </w:r>
    </w:p>
    <w:p w:rsidR="006D79F3" w:rsidRDefault="00067C92">
      <w:pPr>
        <w:pStyle w:val="Normal3"/>
      </w:pPr>
      <w:r>
        <w:t xml:space="preserve">Agencija za plaćanja u poljoprivredi, ribarstvu i ruralnom razvoju svoj rad temelji na akreditiranim procesima i procedurama u skladu s Uredbama i unaprijed određenim kriterijima primjenjivim za provedbu Zajedničke poljoprivredne politike i Zajedničke ribarstvene politike. </w:t>
      </w:r>
    </w:p>
    <w:p w:rsidR="006D79F3" w:rsidRDefault="00067C92">
      <w:pPr>
        <w:pStyle w:val="Normal3"/>
      </w:pPr>
      <w:r>
        <w:t xml:space="preserve">Djeluje putem središnjeg ureda u Zagrebu i 21 podružnice te 4 ispostave. </w:t>
      </w:r>
    </w:p>
    <w:p w:rsidR="006D79F3" w:rsidRDefault="00067C92">
      <w:pPr>
        <w:pStyle w:val="Normal3"/>
      </w:pPr>
      <w:r>
        <w:t xml:space="preserve">Misija Agencije za plaćanja u poljoprivredi, ribarstvu i ruralnom razvoju je biti strateški partner poljoprivrednika, potaknuti uspješno poslovanje na poljoprivrednim gospodarstvima uz profesionalno i odgovorno korištenje resursa, znanja i inovacija koje pridonose razvoju i održivosti hrvatske poljoprivrede. </w:t>
      </w:r>
    </w:p>
    <w:p w:rsidR="006D79F3" w:rsidRDefault="00067C92">
      <w:pPr>
        <w:pStyle w:val="Normal3"/>
      </w:pPr>
      <w:r>
        <w:t>Rad Agencije za plaćanja nadzire Upravno vijeće koje imenuje Vlada Republike Hrvatske, a čiji je predsjednik ministar poljoprivrede. Ostali članovi su po jedan predstavnik Ministarstva poljoprivrede, Ministarstva financija, Ministarstva regionalnoga razvoja i fondova EU, te predstavnik radničkog vijeća Agencije za plaćanja. Rad Agencije za plaćanja također nadziru i druga tijela, kako RH tako i EU, a sve s ciljem osiguravanja učinkovitog sustava upravljanja i kontrole.</w:t>
      </w:r>
    </w:p>
    <w:tbl>
      <w:tblPr>
        <w:tblStyle w:val="StilTablice"/>
        <w:tblW w:w="10206" w:type="dxa"/>
        <w:jc w:val="center"/>
        <w:tblLook w:val="04A0" w:firstRow="1" w:lastRow="0" w:firstColumn="1" w:lastColumn="0" w:noHBand="0" w:noVBand="1"/>
      </w:tblPr>
      <w:tblGrid>
        <w:gridCol w:w="1486"/>
        <w:gridCol w:w="1550"/>
        <w:gridCol w:w="1550"/>
        <w:gridCol w:w="1550"/>
        <w:gridCol w:w="1550"/>
        <w:gridCol w:w="1550"/>
        <w:gridCol w:w="970"/>
      </w:tblGrid>
      <w:tr w:rsidR="006D79F3">
        <w:trPr>
          <w:jc w:val="center"/>
        </w:trPr>
        <w:tc>
          <w:tcPr>
            <w:tcW w:w="1530" w:type="dxa"/>
            <w:shd w:val="clear" w:color="auto" w:fill="B5C0D8"/>
          </w:tcPr>
          <w:p w:rsidR="006D79F3" w:rsidRDefault="006D79F3">
            <w:pPr>
              <w:pStyle w:val="CellHeader"/>
            </w:pP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06030-Agencija za plaćanja u poljoprivredi, ribarstvu i ruralnom razvoju</w:t>
            </w:r>
          </w:p>
        </w:tc>
        <w:tc>
          <w:tcPr>
            <w:tcW w:w="1632" w:type="dxa"/>
          </w:tcPr>
          <w:p w:rsidR="006D79F3" w:rsidRDefault="00067C92">
            <w:pPr>
              <w:pStyle w:val="CellColumn"/>
            </w:pPr>
            <w:r>
              <w:rPr>
                <w:rFonts w:cs="Times New Roman"/>
              </w:rPr>
              <w:t>40.119.988</w:t>
            </w:r>
          </w:p>
        </w:tc>
        <w:tc>
          <w:tcPr>
            <w:tcW w:w="1632" w:type="dxa"/>
          </w:tcPr>
          <w:p w:rsidR="006D79F3" w:rsidRDefault="00067C92">
            <w:pPr>
              <w:pStyle w:val="CellColumn"/>
            </w:pPr>
            <w:r>
              <w:rPr>
                <w:rFonts w:cs="Times New Roman"/>
              </w:rPr>
              <w:t>52.866.759</w:t>
            </w:r>
          </w:p>
        </w:tc>
        <w:tc>
          <w:tcPr>
            <w:tcW w:w="1632" w:type="dxa"/>
          </w:tcPr>
          <w:p w:rsidR="006D79F3" w:rsidRDefault="00067C92">
            <w:pPr>
              <w:pStyle w:val="CellColumn"/>
            </w:pPr>
            <w:r>
              <w:rPr>
                <w:rFonts w:cs="Times New Roman"/>
              </w:rPr>
              <w:t>51.051.924</w:t>
            </w:r>
          </w:p>
        </w:tc>
        <w:tc>
          <w:tcPr>
            <w:tcW w:w="1632" w:type="dxa"/>
          </w:tcPr>
          <w:p w:rsidR="006D79F3" w:rsidRDefault="00067C92">
            <w:pPr>
              <w:pStyle w:val="CellColumn"/>
            </w:pPr>
            <w:r>
              <w:rPr>
                <w:rFonts w:cs="Times New Roman"/>
              </w:rPr>
              <w:t>51.189.101</w:t>
            </w:r>
          </w:p>
        </w:tc>
        <w:tc>
          <w:tcPr>
            <w:tcW w:w="1632" w:type="dxa"/>
          </w:tcPr>
          <w:p w:rsidR="006D79F3" w:rsidRDefault="00067C92">
            <w:pPr>
              <w:pStyle w:val="CellColumn"/>
            </w:pPr>
            <w:r>
              <w:rPr>
                <w:rFonts w:cs="Times New Roman"/>
              </w:rPr>
              <w:t>51.900.885</w:t>
            </w:r>
          </w:p>
        </w:tc>
        <w:tc>
          <w:tcPr>
            <w:tcW w:w="510" w:type="dxa"/>
          </w:tcPr>
          <w:p w:rsidR="006D79F3" w:rsidRDefault="00067C92">
            <w:pPr>
              <w:pStyle w:val="CellColumn"/>
            </w:pPr>
            <w:r>
              <w:rPr>
                <w:rFonts w:cs="Times New Roman"/>
              </w:rPr>
              <w:t>96,6</w:t>
            </w:r>
          </w:p>
        </w:tc>
      </w:tr>
    </w:tbl>
    <w:p w:rsidR="006D79F3" w:rsidRDefault="006D79F3">
      <w:pPr>
        <w:jc w:val="left"/>
      </w:pPr>
    </w:p>
    <w:p w:rsidR="006D79F3" w:rsidRDefault="00067C92">
      <w:pPr>
        <w:pStyle w:val="Heading3"/>
      </w:pPr>
      <w:r>
        <w:rPr>
          <w:rFonts w:cs="Times New Roman"/>
        </w:rPr>
        <w:lastRenderedPageBreak/>
        <w:t>3001 UPRAVLJANJE POLJOPRIVREDOM, RIBARSTVOM I RURALNIM RAZVOJEM</w:t>
      </w:r>
    </w:p>
    <w:tbl>
      <w:tblPr>
        <w:tblStyle w:val="StilTablice"/>
        <w:tblW w:w="10206" w:type="dxa"/>
        <w:jc w:val="center"/>
        <w:tblLook w:val="04A0" w:firstRow="1" w:lastRow="0" w:firstColumn="1" w:lastColumn="0" w:noHBand="0" w:noVBand="1"/>
      </w:tblPr>
      <w:tblGrid>
        <w:gridCol w:w="1943"/>
        <w:gridCol w:w="1458"/>
        <w:gridCol w:w="1458"/>
        <w:gridCol w:w="1459"/>
        <w:gridCol w:w="1459"/>
        <w:gridCol w:w="1459"/>
        <w:gridCol w:w="970"/>
      </w:tblGrid>
      <w:tr w:rsidR="006D79F3">
        <w:trPr>
          <w:jc w:val="center"/>
        </w:trPr>
        <w:tc>
          <w:tcPr>
            <w:tcW w:w="1530" w:type="dxa"/>
            <w:shd w:val="clear" w:color="auto" w:fill="B5C0D8"/>
          </w:tcPr>
          <w:p w:rsidR="006D79F3" w:rsidRDefault="006D79F3">
            <w:pPr>
              <w:pStyle w:val="CellHeader"/>
            </w:pP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3001-UPRAVLJANJE POLJOPRIVREDOM, RIBARSTVOM I RURALNIM RAZVOJEM</w:t>
            </w:r>
          </w:p>
        </w:tc>
        <w:tc>
          <w:tcPr>
            <w:tcW w:w="1632" w:type="dxa"/>
          </w:tcPr>
          <w:p w:rsidR="006D79F3" w:rsidRDefault="00067C92">
            <w:pPr>
              <w:pStyle w:val="CellColumn"/>
            </w:pPr>
            <w:r>
              <w:rPr>
                <w:rFonts w:cs="Times New Roman"/>
              </w:rPr>
              <w:t>25.572.633</w:t>
            </w:r>
          </w:p>
        </w:tc>
        <w:tc>
          <w:tcPr>
            <w:tcW w:w="1632" w:type="dxa"/>
          </w:tcPr>
          <w:p w:rsidR="006D79F3" w:rsidRDefault="00067C92">
            <w:pPr>
              <w:pStyle w:val="CellColumn"/>
            </w:pPr>
            <w:r>
              <w:rPr>
                <w:rFonts w:cs="Times New Roman"/>
              </w:rPr>
              <w:t>36.913.745</w:t>
            </w:r>
          </w:p>
        </w:tc>
        <w:tc>
          <w:tcPr>
            <w:tcW w:w="1632" w:type="dxa"/>
          </w:tcPr>
          <w:p w:rsidR="006D79F3" w:rsidRDefault="00067C92">
            <w:pPr>
              <w:pStyle w:val="CellColumn"/>
            </w:pPr>
            <w:r>
              <w:rPr>
                <w:rFonts w:cs="Times New Roman"/>
              </w:rPr>
              <w:t>40.164.362</w:t>
            </w:r>
          </w:p>
        </w:tc>
        <w:tc>
          <w:tcPr>
            <w:tcW w:w="1632" w:type="dxa"/>
          </w:tcPr>
          <w:p w:rsidR="006D79F3" w:rsidRDefault="00067C92">
            <w:pPr>
              <w:pStyle w:val="CellColumn"/>
            </w:pPr>
            <w:r>
              <w:rPr>
                <w:rFonts w:cs="Times New Roman"/>
              </w:rPr>
              <w:t>40.301.539</w:t>
            </w:r>
          </w:p>
        </w:tc>
        <w:tc>
          <w:tcPr>
            <w:tcW w:w="1632" w:type="dxa"/>
          </w:tcPr>
          <w:p w:rsidR="006D79F3" w:rsidRDefault="00067C92">
            <w:pPr>
              <w:pStyle w:val="CellColumn"/>
            </w:pPr>
            <w:r>
              <w:rPr>
                <w:rFonts w:cs="Times New Roman"/>
              </w:rPr>
              <w:t>40.978.323</w:t>
            </w:r>
          </w:p>
        </w:tc>
        <w:tc>
          <w:tcPr>
            <w:tcW w:w="510" w:type="dxa"/>
          </w:tcPr>
          <w:p w:rsidR="006D79F3" w:rsidRDefault="00067C92">
            <w:pPr>
              <w:pStyle w:val="CellColumn"/>
            </w:pPr>
            <w:r>
              <w:rPr>
                <w:rFonts w:cs="Times New Roman"/>
              </w:rPr>
              <w:t>108,8</w:t>
            </w:r>
          </w:p>
        </w:tc>
      </w:tr>
    </w:tbl>
    <w:p w:rsidR="006D79F3" w:rsidRDefault="006D79F3">
      <w:pPr>
        <w:jc w:val="left"/>
      </w:pPr>
    </w:p>
    <w:p w:rsidR="006D79F3" w:rsidRDefault="00067C92">
      <w:pPr>
        <w:pStyle w:val="Normal5"/>
      </w:pPr>
      <w:r>
        <w:t xml:space="preserve">Provedba ZPP-a utemeljena je na Strateškom planu Zajedničke poljoprivredne politike Republike Hrvatske 2023.-2027. godine koji predstavlja nacionalni dokument i osigurava potporu iz europskih poljoprivrednih fondova. Provedbom Strateškog plana Zajedničke poljoprivredne politike Republike Hrvatske 2023.-2027. godine nastoji se osigurati doprinos ciljevima Europskog zelenog plana uključujući Strategiju za bioraznolikost te strategiju Od polja do stola. Glavne zadaće APPRRR-a u spomenutom procesu jesu pravovremena objava novih natječaja, obrada zaprimljenih zahtjeva, obrada zahtjeva za intervencije izravne potpore i IAKS mjere ruralnog razvoja (Jedinstveni zahtjev), obrada zahtjeva za sektorske intervencije, nacionalne programe potpore i ostale tržišne potpore, kontinuirana provedba kontrola na terenu te pravovremena isplata svih potpora.  </w:t>
      </w:r>
    </w:p>
    <w:p w:rsidR="006D79F3" w:rsidRDefault="00067C92">
      <w:pPr>
        <w:pStyle w:val="Normal5"/>
      </w:pPr>
      <w:r>
        <w:t xml:space="preserve">Zajednička poljoprivredna politika 2023.-2027. godine naglasak stavlja na rezultate i djelotvornost mjera istovremeno odgovarajući na specifične potrebe svojih poljoprivrednika. Opći ciljevi Zajedničke poljoprivredne politike 2023.-2027. godine jesu sljedeći: </w:t>
      </w:r>
    </w:p>
    <w:p w:rsidR="006D79F3" w:rsidRDefault="00067C92">
      <w:pPr>
        <w:pStyle w:val="Normal5"/>
      </w:pPr>
      <w:r>
        <w:t>•</w:t>
      </w:r>
      <w:r>
        <w:tab/>
        <w:t xml:space="preserve">Poticanje pametnog, konkurentnog, otpornog i diverzificiranog sektora poljoprivrede kojim se osigurava dugoročna sigurnost opskrbe hranom, </w:t>
      </w:r>
    </w:p>
    <w:p w:rsidR="006D79F3" w:rsidRDefault="00067C92">
      <w:pPr>
        <w:pStyle w:val="Normal5"/>
      </w:pPr>
      <w:r>
        <w:t>•</w:t>
      </w:r>
      <w:r>
        <w:tab/>
        <w:t xml:space="preserve">Podupiranje i jačanje zaštite okoliša, uključujući bioraznolikost i djelovanja u području klime te doprinos postizanju ciljeva Unije u području okoliša i klime, uključujući njezine obveze u okviru Pariškog sporazuma, </w:t>
      </w:r>
    </w:p>
    <w:p w:rsidR="006D79F3" w:rsidRDefault="00067C92">
      <w:pPr>
        <w:pStyle w:val="Normal5"/>
      </w:pPr>
      <w:r>
        <w:t>•</w:t>
      </w:r>
      <w:r>
        <w:tab/>
        <w:t xml:space="preserve">Jačanje socioekonomske strukture ruralnih područja. </w:t>
      </w:r>
    </w:p>
    <w:p w:rsidR="006D79F3" w:rsidRDefault="00067C92">
      <w:pPr>
        <w:pStyle w:val="Normal5"/>
      </w:pPr>
      <w:r>
        <w:t xml:space="preserve"> </w:t>
      </w:r>
    </w:p>
    <w:p w:rsidR="006D79F3" w:rsidRDefault="00067C92">
      <w:pPr>
        <w:pStyle w:val="Normal5"/>
      </w:pPr>
      <w:r>
        <w:t>Zajednička poljoprivredna politike 2023.-2027. godine provodi se kroz dvije komponente odnosno dva stupa -  1. stup Zajedničke poljoprivredne politike (izravna plaćanja i mjere na poljoprivrednim tržištima) i 2. stup Zajedničke poljoprivredne politike (intervencije za ruralni razvoj). APPRRR će i u 2026. godini nastaviti s optimizacijom i unaprjeđenjem svojih procedura za rad te operativnom provedbom svih spomenutih intervencija.</w:t>
      </w:r>
    </w:p>
    <w:p w:rsidR="006D79F3" w:rsidRDefault="00067C92">
      <w:pPr>
        <w:pStyle w:val="Heading7"/>
      </w:pPr>
      <w:r>
        <w:t>Cilj 1. UČINKOVITO I OPERATIVNO PROVODITI ZAJEDNIČKU POLJOPRIVREDNU POLITIKU (ZPP)</w:t>
      </w:r>
    </w:p>
    <w:p w:rsidR="006D79F3" w:rsidRDefault="00067C92">
      <w:pPr>
        <w:pStyle w:val="Heading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6D79F3">
        <w:trPr>
          <w:jc w:val="center"/>
        </w:trPr>
        <w:tc>
          <w:tcPr>
            <w:tcW w:w="2245" w:type="dxa"/>
            <w:shd w:val="clear" w:color="auto" w:fill="B5C0D8"/>
          </w:tcPr>
          <w:p w:rsidR="006D79F3" w:rsidRDefault="00067C92">
            <w:r>
              <w:t>Pokazatelj učinka</w:t>
            </w:r>
          </w:p>
        </w:tc>
        <w:tc>
          <w:tcPr>
            <w:tcW w:w="2245" w:type="dxa"/>
            <w:shd w:val="clear" w:color="auto" w:fill="B5C0D8"/>
          </w:tcPr>
          <w:p w:rsidR="006D79F3" w:rsidRDefault="00067C92">
            <w:pPr>
              <w:pStyle w:val="CellHeader"/>
            </w:pPr>
            <w:r>
              <w:rPr>
                <w:rFonts w:cs="Times New Roman"/>
              </w:rPr>
              <w:t>Definicija</w:t>
            </w:r>
          </w:p>
        </w:tc>
        <w:tc>
          <w:tcPr>
            <w:tcW w:w="918"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Pravovremena i učinkovita provedba intervencija izravne potpore (uključujući IAKS mjere ruralnog razvoja)</w:t>
            </w:r>
          </w:p>
        </w:tc>
        <w:tc>
          <w:tcPr>
            <w:tcW w:w="2245" w:type="dxa"/>
          </w:tcPr>
          <w:p w:rsidR="006D79F3" w:rsidRDefault="00067C92">
            <w:pPr>
              <w:pStyle w:val="CellColumn"/>
            </w:pPr>
            <w:r>
              <w:rPr>
                <w:rFonts w:cs="Times New Roman"/>
              </w:rPr>
              <w:t>Udio isplaćenih odobrenih zahtjeva u zakonskom roku</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r>
    </w:tbl>
    <w:p w:rsidR="006D79F3" w:rsidRDefault="006D79F3">
      <w:pPr>
        <w:jc w:val="left"/>
      </w:pPr>
    </w:p>
    <w:p w:rsidR="006D79F3" w:rsidRDefault="00067C92">
      <w:pPr>
        <w:pStyle w:val="Heading4"/>
      </w:pPr>
      <w:r>
        <w:lastRenderedPageBreak/>
        <w:t>A841001 ADMINISTRACIJA I UPRAVLJANJE AGENCIJE ZA PLAĆANJA U POLJOPRIVREDI, RIBARSTVU I RURALNOM RAZVOJU</w:t>
      </w:r>
    </w:p>
    <w:p w:rsidR="006D79F3" w:rsidRDefault="00067C92">
      <w:pPr>
        <w:pStyle w:val="Heading8"/>
        <w:jc w:val="left"/>
      </w:pPr>
      <w:r>
        <w:t>Zakonske i druge pravne osnove</w:t>
      </w:r>
    </w:p>
    <w:p w:rsidR="006D79F3" w:rsidRDefault="00067C92">
      <w:pPr>
        <w:pStyle w:val="Normal5"/>
      </w:pPr>
      <w:r>
        <w:t xml:space="preserve">- Zakon o osnivanju Agencije za plaćanja u poljoprivredi, ribarstvu i ruralnom razvoju </w:t>
      </w:r>
    </w:p>
    <w:p w:rsidR="006D79F3" w:rsidRDefault="00067C92">
      <w:pPr>
        <w:pStyle w:val="Normal5"/>
      </w:pPr>
      <w:r>
        <w:t xml:space="preserve">- Statut Agencije za plaćanja u poljoprivredi, ribarstvu i ruralnom razvoju </w:t>
      </w:r>
    </w:p>
    <w:p w:rsidR="006D79F3" w:rsidRDefault="00067C92">
      <w:pPr>
        <w:pStyle w:val="Normal5"/>
      </w:pPr>
      <w:r>
        <w:t xml:space="preserve">- Pravilnik o korištenju službenih automobila Agencije za plaćanja u poljoprivredi, ribarstvu i ruralnom </w:t>
      </w:r>
    </w:p>
    <w:p w:rsidR="006D79F3" w:rsidRDefault="00067C92">
      <w:pPr>
        <w:pStyle w:val="Normal5"/>
      </w:pPr>
      <w:r>
        <w:t xml:space="preserve">razvoju </w:t>
      </w:r>
    </w:p>
    <w:p w:rsidR="006D79F3" w:rsidRDefault="00067C92">
      <w:pPr>
        <w:pStyle w:val="Normal5"/>
      </w:pPr>
      <w:r>
        <w:t xml:space="preserve">- Pravilnik o proračunskom računovodstvu </w:t>
      </w:r>
    </w:p>
    <w:p w:rsidR="006D79F3" w:rsidRDefault="00067C92">
      <w:pPr>
        <w:pStyle w:val="Normal5"/>
      </w:pPr>
      <w:r>
        <w:t xml:space="preserve">- Pravilnik o upravljanju informacijskom sigurnošću </w:t>
      </w:r>
    </w:p>
    <w:p w:rsidR="006D79F3" w:rsidRDefault="00067C92">
      <w:pPr>
        <w:pStyle w:val="Normal5"/>
      </w:pPr>
      <w:r>
        <w:t xml:space="preserve">- Pravilnik o unutarnjem ustrojstvu i sistematizaciji radnih mjesta </w:t>
      </w:r>
    </w:p>
    <w:p w:rsidR="006D79F3" w:rsidRDefault="00067C92">
      <w:pPr>
        <w:pStyle w:val="Normal5"/>
      </w:pPr>
      <w:r>
        <w:t xml:space="preserve">- Zakon o plaćama u državnoj službi i javnim službama </w:t>
      </w:r>
    </w:p>
    <w:p w:rsidR="006D79F3" w:rsidRDefault="00067C92">
      <w:pPr>
        <w:pStyle w:val="Normal5"/>
      </w:pPr>
      <w:r>
        <w:t xml:space="preserve">- Zakon o Registru zaposlenih i centraliziranom obračunu plaća u državnoj službi i javnim službama </w:t>
      </w:r>
    </w:p>
    <w:p w:rsidR="006D79F3" w:rsidRDefault="00067C92">
      <w:pPr>
        <w:pStyle w:val="Normal5"/>
      </w:pPr>
      <w:r>
        <w:t>- Uredba o nazivima radnih mjesta, uvjetima za raspored i koeficjentima za obračun plaće u javnim službama</w:t>
      </w:r>
    </w:p>
    <w:tbl>
      <w:tblPr>
        <w:tblStyle w:val="StilTablice"/>
        <w:tblW w:w="10206" w:type="dxa"/>
        <w:jc w:val="center"/>
        <w:tblLook w:val="04A0" w:firstRow="1" w:lastRow="0" w:firstColumn="1" w:lastColumn="0" w:noHBand="0" w:noVBand="1"/>
      </w:tblPr>
      <w:tblGrid>
        <w:gridCol w:w="1792"/>
        <w:gridCol w:w="1488"/>
        <w:gridCol w:w="1489"/>
        <w:gridCol w:w="1489"/>
        <w:gridCol w:w="1489"/>
        <w:gridCol w:w="1489"/>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A841001-ADMINISTRACIJA I UPRAVLJANJE AGENCIJE ZA PLAĆANJA U POLJOPRIVREDI, RIBARSTVU I RURALNOM RAZVOJU</w:t>
            </w:r>
          </w:p>
        </w:tc>
        <w:tc>
          <w:tcPr>
            <w:tcW w:w="1632" w:type="dxa"/>
          </w:tcPr>
          <w:p w:rsidR="006D79F3" w:rsidRDefault="00067C92">
            <w:pPr>
              <w:pStyle w:val="CellColumn"/>
            </w:pPr>
            <w:r>
              <w:rPr>
                <w:rFonts w:cs="Times New Roman"/>
              </w:rPr>
              <w:t>21.234.642</w:t>
            </w:r>
          </w:p>
        </w:tc>
        <w:tc>
          <w:tcPr>
            <w:tcW w:w="1632" w:type="dxa"/>
          </w:tcPr>
          <w:p w:rsidR="006D79F3" w:rsidRDefault="00067C92">
            <w:pPr>
              <w:pStyle w:val="CellColumn"/>
            </w:pPr>
            <w:r>
              <w:rPr>
                <w:rFonts w:cs="Times New Roman"/>
              </w:rPr>
              <w:t>27.894.918</w:t>
            </w:r>
          </w:p>
        </w:tc>
        <w:tc>
          <w:tcPr>
            <w:tcW w:w="1632" w:type="dxa"/>
          </w:tcPr>
          <w:p w:rsidR="006D79F3" w:rsidRDefault="00067C92">
            <w:pPr>
              <w:pStyle w:val="CellColumn"/>
            </w:pPr>
            <w:r>
              <w:rPr>
                <w:rFonts w:cs="Times New Roman"/>
              </w:rPr>
              <w:t>27.996.000</w:t>
            </w:r>
          </w:p>
        </w:tc>
        <w:tc>
          <w:tcPr>
            <w:tcW w:w="1632" w:type="dxa"/>
          </w:tcPr>
          <w:p w:rsidR="006D79F3" w:rsidRDefault="00067C92">
            <w:pPr>
              <w:pStyle w:val="CellColumn"/>
            </w:pPr>
            <w:r>
              <w:rPr>
                <w:rFonts w:cs="Times New Roman"/>
              </w:rPr>
              <w:t>28.672.423</w:t>
            </w:r>
          </w:p>
        </w:tc>
        <w:tc>
          <w:tcPr>
            <w:tcW w:w="1632" w:type="dxa"/>
          </w:tcPr>
          <w:p w:rsidR="006D79F3" w:rsidRDefault="00067C92">
            <w:pPr>
              <w:pStyle w:val="CellColumn"/>
            </w:pPr>
            <w:r>
              <w:rPr>
                <w:rFonts w:cs="Times New Roman"/>
              </w:rPr>
              <w:t>28.631.555</w:t>
            </w:r>
          </w:p>
        </w:tc>
        <w:tc>
          <w:tcPr>
            <w:tcW w:w="510" w:type="dxa"/>
          </w:tcPr>
          <w:p w:rsidR="006D79F3" w:rsidRDefault="00067C92">
            <w:pPr>
              <w:pStyle w:val="CellColumn"/>
            </w:pPr>
            <w:r>
              <w:rPr>
                <w:rFonts w:cs="Times New Roman"/>
              </w:rPr>
              <w:t>100,4</w:t>
            </w:r>
          </w:p>
        </w:tc>
      </w:tr>
    </w:tbl>
    <w:p w:rsidR="006D79F3" w:rsidRDefault="006D79F3">
      <w:pPr>
        <w:jc w:val="left"/>
      </w:pPr>
    </w:p>
    <w:p w:rsidR="006D79F3" w:rsidRDefault="009A27A2">
      <w:r>
        <w:t>A</w:t>
      </w:r>
      <w:bookmarkStart w:id="0" w:name="_GoBack"/>
      <w:bookmarkEnd w:id="0"/>
      <w:r w:rsidR="00067C92">
        <w:t xml:space="preserve">PPRRR kontinuirano obavlja  različite horizontalne aktivnosti odnosno zadatke nužne za cjelovito poslovanje institucije, a koji predstavljaju podršku provedbi zadanih ciljeva. Horizontalne aktivnosti odnosno zadaci APPRRR-a odnose se na planiranje za potrebe APPRRR-a, izradu, prilagodbu i ažuriranje procedura za rad, provedbu preporuka unutarnje i vanjskih revizija, upravljanje nepravilnostima, prevenciju sukoba interesa, upravljanje rizicima, komunikaciju s korisnicima i informiranje šire javnosti, provedbu međunarodnih aktivnosti, upravljanje ljudskim potencijalima, osiguranje sredstava za rad djelatnika APPRRR-a, provedbu financijskih, računovodstvenih i knjigovodstvenih poslova, sustava javne nabave i pravnih poslova, izvještavanje o radu APPRRR-a, organizaciji zaštite na radu i sl. </w:t>
      </w:r>
    </w:p>
    <w:p w:rsidR="006D79F3" w:rsidRDefault="00067C92">
      <w:r>
        <w:t xml:space="preserve">Djelovanje APPRRR-a odvija se unutar složenog pravnog okvira koji obuhvaća europsko i nacionalno zakonodavstvo koje definira načine dodjele potpora, kontrole i izvještavanje. Uz to, APPRRR mora primjenjivati i horizontalne propise koji se odnose na javnu nabavu, zaštitu osobnih podataka (GDPR) te zaštitu financijskih interesa Europske unije. U okviru pravnog sustava, iznimno je važna i uspostava odnosno ažuriranje transparentnih procedura i revizijskih tragova, pri čemu, s obzirom na brze promjene u zakonodavstvu, APPRRR mora kontinuirano pratiti i prilagođavati svoje interne procedure novim pravnim zahtjevima. Pravni okvir unutar kojeg APPRRR djeluje je zahtjevan, ali istodobno osigurava transparentnost, odgovornost i usklađenost s akreditacijskim kriterijima, čime se štiti integritet sustava potpora i povjerenje javnosti u njihovu provedbu. </w:t>
      </w:r>
    </w:p>
    <w:p w:rsidR="006D79F3" w:rsidRDefault="00067C92">
      <w:r>
        <w:t xml:space="preserve">APPRRR kontinuirano potiče i organizira usavršavanje svojih zaposlenika uzimajući u obzir individualne interese i potrebe posla, čime se kod zaposlenika potiče osjećaj vrijednosti i samopoštovanja, a ujedno se doprinosi cjelokupnom poslovanju. Tako će APPRRR i u narednim godinama nastojati iskoristiti sve raspoložive mogućnosti za osiguranje prikladnog sustava edukacija na svim razinama. </w:t>
      </w:r>
    </w:p>
    <w:p w:rsidR="006D79F3" w:rsidRDefault="00067C92">
      <w:r>
        <w:t xml:space="preserve">Uslijed povećanja broja radnika tijekom 2024. i 2025.g.  </w:t>
      </w:r>
    </w:p>
    <w:p w:rsidR="006D79F3" w:rsidRDefault="00067C92">
      <w:r>
        <w:t xml:space="preserve">Osim izvora 11 Opći prihodi i primici iz kojih APPRRR planira finacirati većinu rashoda koji se odnose na poslovanje Agencije (plaće, režije, putni troškovi) , dio prihoda odnosi se na izvor 31 - Vlastiti prihodi, odnosno prihode ostvarene u internom kafiću. Iz istih će se financirati isključivo rashodi vezani uz poslovanje internog kafića. Dio </w:t>
      </w:r>
      <w:r>
        <w:lastRenderedPageBreak/>
        <w:t>prihoda planira ostvariti na izvoru 51 - Pomoći EU – odnosi se refundaciju putnih troškova od strane Europske komisije. Ti prihodi su planirani u svim godinama u istom iznosu od 21.236 EUR-a.</w:t>
      </w:r>
    </w:p>
    <w:p w:rsidR="006D79F3" w:rsidRDefault="00067C92">
      <w:pPr>
        <w:pStyle w:val="Heading4"/>
      </w:pPr>
      <w:r>
        <w:t>A841007 ORGANIZICIJA MEĐUNARODNIH DOGAĐANJA</w:t>
      </w:r>
    </w:p>
    <w:p w:rsidR="006D79F3" w:rsidRDefault="00067C92">
      <w:pPr>
        <w:pStyle w:val="Heading8"/>
        <w:jc w:val="left"/>
      </w:pPr>
      <w:r>
        <w:t>Zakonske i druge pravne osnove</w:t>
      </w:r>
    </w:p>
    <w:p w:rsidR="006D79F3" w:rsidRDefault="00067C92">
      <w:pPr>
        <w:pStyle w:val="Normal5"/>
      </w:pPr>
      <w:r>
        <w:t xml:space="preserve">- Bilateralni sporazumi o suradnji između APPRRR-a i partnerskih institucija država članica EU i država </w:t>
      </w:r>
    </w:p>
    <w:p w:rsidR="006D79F3" w:rsidRDefault="00067C92">
      <w:pPr>
        <w:pStyle w:val="Normal5"/>
      </w:pPr>
      <w:r>
        <w:t xml:space="preserve">kandidatkinja za pristup EU </w:t>
      </w:r>
    </w:p>
    <w:p w:rsidR="006D79F3" w:rsidRDefault="00067C92">
      <w:pPr>
        <w:pStyle w:val="Normal5"/>
      </w:pPr>
      <w:r>
        <w:t>- Zakon o provedbi projekata međunarodne institucionalne suradnje europske unije i projekata tehničke pomoći</w:t>
      </w:r>
    </w:p>
    <w:tbl>
      <w:tblPr>
        <w:tblStyle w:val="StilTablice"/>
        <w:tblW w:w="10206" w:type="dxa"/>
        <w:jc w:val="center"/>
        <w:tblLook w:val="04A0" w:firstRow="1" w:lastRow="0" w:firstColumn="1" w:lastColumn="0" w:noHBand="0" w:noVBand="1"/>
      </w:tblPr>
      <w:tblGrid>
        <w:gridCol w:w="1771"/>
        <w:gridCol w:w="1520"/>
        <w:gridCol w:w="1508"/>
        <w:gridCol w:w="1479"/>
        <w:gridCol w:w="1479"/>
        <w:gridCol w:w="1479"/>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A841007-ORGANIZICIJA MEĐUNARODNIH DOGAĐANJA</w:t>
            </w:r>
          </w:p>
        </w:tc>
        <w:tc>
          <w:tcPr>
            <w:tcW w:w="1632" w:type="dxa"/>
          </w:tcPr>
          <w:p w:rsidR="006D79F3" w:rsidRDefault="00067C92">
            <w:pPr>
              <w:pStyle w:val="CellColumn"/>
            </w:pPr>
            <w:r>
              <w:rPr>
                <w:rFonts w:cs="Times New Roman"/>
              </w:rPr>
              <w:t>00</w:t>
            </w:r>
          </w:p>
        </w:tc>
        <w:tc>
          <w:tcPr>
            <w:tcW w:w="1632" w:type="dxa"/>
          </w:tcPr>
          <w:p w:rsidR="006D79F3" w:rsidRDefault="00067C92">
            <w:pPr>
              <w:pStyle w:val="CellColumn"/>
            </w:pPr>
            <w:r>
              <w:rPr>
                <w:rFonts w:cs="Times New Roman"/>
              </w:rPr>
              <w:t>120.000</w:t>
            </w:r>
          </w:p>
        </w:tc>
        <w:tc>
          <w:tcPr>
            <w:tcW w:w="1632" w:type="dxa"/>
          </w:tcPr>
          <w:p w:rsidR="006D79F3" w:rsidRDefault="00067C92">
            <w:pPr>
              <w:pStyle w:val="CellColumn"/>
            </w:pPr>
            <w:r>
              <w:rPr>
                <w:rFonts w:cs="Times New Roman"/>
              </w:rPr>
              <w:t>6.000</w:t>
            </w:r>
          </w:p>
        </w:tc>
        <w:tc>
          <w:tcPr>
            <w:tcW w:w="1632" w:type="dxa"/>
          </w:tcPr>
          <w:p w:rsidR="006D79F3" w:rsidRDefault="00067C92">
            <w:pPr>
              <w:pStyle w:val="CellColumn"/>
            </w:pPr>
            <w:r>
              <w:rPr>
                <w:rFonts w:cs="Times New Roman"/>
              </w:rPr>
              <w:t>6.000</w:t>
            </w:r>
          </w:p>
        </w:tc>
        <w:tc>
          <w:tcPr>
            <w:tcW w:w="1632" w:type="dxa"/>
          </w:tcPr>
          <w:p w:rsidR="006D79F3" w:rsidRDefault="00067C92">
            <w:pPr>
              <w:pStyle w:val="CellColumn"/>
            </w:pPr>
            <w:r>
              <w:rPr>
                <w:rFonts w:cs="Times New Roman"/>
              </w:rPr>
              <w:t>6.000</w:t>
            </w:r>
          </w:p>
        </w:tc>
        <w:tc>
          <w:tcPr>
            <w:tcW w:w="510" w:type="dxa"/>
          </w:tcPr>
          <w:p w:rsidR="006D79F3" w:rsidRDefault="00067C92">
            <w:pPr>
              <w:pStyle w:val="CellColumn"/>
            </w:pPr>
            <w:r>
              <w:rPr>
                <w:rFonts w:cs="Times New Roman"/>
              </w:rPr>
              <w:t>5,0</w:t>
            </w:r>
          </w:p>
        </w:tc>
      </w:tr>
    </w:tbl>
    <w:p w:rsidR="006D79F3" w:rsidRDefault="006D79F3">
      <w:pPr>
        <w:jc w:val="left"/>
      </w:pPr>
    </w:p>
    <w:p w:rsidR="006D79F3" w:rsidRDefault="00067C92">
      <w:r>
        <w:t xml:space="preserve">Agencija za plaćanja u poljoprivredi, ribarstvu i ruralnom razvoju potiče i razvija razne oblike međunarodne suradnje s nizom europskih Agencija za plaćanja i drugim relevantnim institucijama. Suradnja uključuje razmjenu stručnjaka, održavanje međunarodnih konferencija,seminara, organizaciju studijskih posjeta, organizaciju sastanaka na stručnoj i visokoj razini te stručnousavršavanje.  Planirani bilateralni sastanci neće dovesti do značajnijih troškova osim eventualno službenih putovanja. </w:t>
      </w:r>
    </w:p>
    <w:p w:rsidR="006D79F3" w:rsidRDefault="00067C92">
      <w:r>
        <w:t xml:space="preserve"> </w:t>
      </w:r>
    </w:p>
    <w:p w:rsidR="006D79F3" w:rsidRDefault="00067C92">
      <w:r>
        <w:t>U 2026., 2027.g. i 2028.g. Agencija za plaćanja u poljoprivredi, ribarstvu i ruralnom razvojune plani ne planira organizaciju značajnijih međunarodnih događanja. Planirani su samo bilateralni posjeti Agenciji.</w:t>
      </w:r>
    </w:p>
    <w:p w:rsidR="006D79F3" w:rsidRDefault="00067C92">
      <w:pPr>
        <w:pStyle w:val="Heading8"/>
        <w:jc w:val="left"/>
      </w:pPr>
      <w:r>
        <w:t>Pokazatelji rezultata</w:t>
      </w:r>
    </w:p>
    <w:tbl>
      <w:tblPr>
        <w:tblStyle w:val="StilTablice"/>
        <w:tblW w:w="10206" w:type="dxa"/>
        <w:jc w:val="center"/>
        <w:tblLook w:val="04A0" w:firstRow="1" w:lastRow="0" w:firstColumn="1" w:lastColumn="0" w:noHBand="0" w:noVBand="1"/>
      </w:tblPr>
      <w:tblGrid>
        <w:gridCol w:w="2028"/>
        <w:gridCol w:w="1905"/>
        <w:gridCol w:w="1700"/>
        <w:gridCol w:w="917"/>
        <w:gridCol w:w="905"/>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Broj održanih bilateralnih i multiralnih sastanaka/događaja</w:t>
            </w:r>
          </w:p>
        </w:tc>
        <w:tc>
          <w:tcPr>
            <w:tcW w:w="2245" w:type="dxa"/>
          </w:tcPr>
          <w:p w:rsidR="006D79F3" w:rsidRDefault="00067C92">
            <w:pPr>
              <w:pStyle w:val="CellColumn"/>
            </w:pPr>
            <w:r>
              <w:rPr>
                <w:rFonts w:cs="Times New Roman"/>
              </w:rPr>
              <w:t xml:space="preserve">Putem sastanaka i </w:t>
            </w:r>
          </w:p>
          <w:p w:rsidR="006D79F3" w:rsidRDefault="00067C92">
            <w:pPr>
              <w:pStyle w:val="CellColumn"/>
            </w:pPr>
            <w:r>
              <w:rPr>
                <w:rFonts w:cs="Times New Roman"/>
              </w:rPr>
              <w:t xml:space="preserve">događaja unaprijedit </w:t>
            </w:r>
          </w:p>
          <w:p w:rsidR="006D79F3" w:rsidRDefault="00067C92">
            <w:pPr>
              <w:pStyle w:val="CellColumn"/>
            </w:pPr>
            <w:r>
              <w:rPr>
                <w:rFonts w:cs="Times New Roman"/>
              </w:rPr>
              <w:t xml:space="preserve">će se odnosi s drugim </w:t>
            </w:r>
          </w:p>
          <w:p w:rsidR="006D79F3" w:rsidRDefault="00067C92">
            <w:pPr>
              <w:pStyle w:val="CellColumn"/>
            </w:pPr>
            <w:r>
              <w:rPr>
                <w:rFonts w:cs="Times New Roman"/>
              </w:rPr>
              <w:t xml:space="preserve">državama, </w:t>
            </w:r>
          </w:p>
          <w:p w:rsidR="006D79F3" w:rsidRDefault="00067C92">
            <w:pPr>
              <w:pStyle w:val="CellColumn"/>
            </w:pPr>
            <w:r>
              <w:rPr>
                <w:rFonts w:cs="Times New Roman"/>
              </w:rPr>
              <w:t>međunarodnim tijelima</w:t>
            </w:r>
          </w:p>
        </w:tc>
        <w:tc>
          <w:tcPr>
            <w:tcW w:w="918" w:type="dxa"/>
          </w:tcPr>
          <w:p w:rsidR="006D79F3" w:rsidRDefault="00067C92">
            <w:pPr>
              <w:pStyle w:val="CellColumn"/>
            </w:pPr>
            <w:r>
              <w:rPr>
                <w:rFonts w:cs="Times New Roman"/>
              </w:rPr>
              <w:t>broj</w:t>
            </w:r>
          </w:p>
        </w:tc>
        <w:tc>
          <w:tcPr>
            <w:tcW w:w="918" w:type="dxa"/>
          </w:tcPr>
          <w:p w:rsidR="006D79F3" w:rsidRDefault="00067C92">
            <w:pPr>
              <w:pStyle w:val="CellColumn"/>
            </w:pPr>
            <w:r>
              <w:rPr>
                <w:rFonts w:cs="Times New Roman"/>
              </w:rPr>
              <w:t>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14</w:t>
            </w:r>
          </w:p>
        </w:tc>
        <w:tc>
          <w:tcPr>
            <w:tcW w:w="918" w:type="dxa"/>
          </w:tcPr>
          <w:p w:rsidR="006D79F3" w:rsidRDefault="00067C92">
            <w:pPr>
              <w:pStyle w:val="CellColumn"/>
            </w:pPr>
            <w:r>
              <w:rPr>
                <w:rFonts w:cs="Times New Roman"/>
              </w:rPr>
              <w:t>15</w:t>
            </w:r>
          </w:p>
        </w:tc>
        <w:tc>
          <w:tcPr>
            <w:tcW w:w="918" w:type="dxa"/>
          </w:tcPr>
          <w:p w:rsidR="006D79F3" w:rsidRDefault="00067C92">
            <w:pPr>
              <w:pStyle w:val="CellColumn"/>
            </w:pPr>
            <w:r>
              <w:rPr>
                <w:rFonts w:cs="Times New Roman"/>
              </w:rPr>
              <w:t>14</w:t>
            </w:r>
          </w:p>
        </w:tc>
      </w:tr>
    </w:tbl>
    <w:p w:rsidR="006D79F3" w:rsidRDefault="006D79F3">
      <w:pPr>
        <w:jc w:val="left"/>
      </w:pPr>
    </w:p>
    <w:p w:rsidR="006D79F3" w:rsidRDefault="00067C92">
      <w:pPr>
        <w:pStyle w:val="Heading4"/>
      </w:pPr>
      <w:r>
        <w:t>K650068 USPOSTAVA INTEGRIRANOG ADMINISTRATIVNOG  KONTROLNOG SUSTAVA - LPIS</w:t>
      </w:r>
    </w:p>
    <w:p w:rsidR="006D79F3" w:rsidRDefault="00067C92">
      <w:pPr>
        <w:pStyle w:val="Heading8"/>
        <w:jc w:val="left"/>
      </w:pPr>
      <w:r>
        <w:t>Zakonske i druge pravne osnove</w:t>
      </w:r>
    </w:p>
    <w:p w:rsidR="006D79F3" w:rsidRDefault="00067C92">
      <w:pPr>
        <w:pStyle w:val="Normal5"/>
      </w:pPr>
      <w:r>
        <w:t xml:space="preserve">- Strateški plana Zajedničke poljoprivredne politike 2023. - 2027. </w:t>
      </w:r>
    </w:p>
    <w:p w:rsidR="006D79F3" w:rsidRDefault="00067C92">
      <w:pPr>
        <w:pStyle w:val="Normal5"/>
      </w:pPr>
      <w:r>
        <w:t xml:space="preserve">- Programa državne potpore za iznimno osjetljive sektore u poljoprivredi </w:t>
      </w:r>
    </w:p>
    <w:p w:rsidR="006D79F3" w:rsidRDefault="00067C92">
      <w:pPr>
        <w:pStyle w:val="Normal5"/>
      </w:pPr>
      <w:r>
        <w:t xml:space="preserve">- Pravilnik o provedbi izravne potpore poljoprivredi i IAKS mjera ruralnog razvoja u 2023. </w:t>
      </w:r>
    </w:p>
    <w:p w:rsidR="006D79F3" w:rsidRDefault="00067C92">
      <w:pPr>
        <w:pStyle w:val="Normal5"/>
      </w:pPr>
      <w:r>
        <w:t xml:space="preserve">- Uredba (EU) br. 2021/2115 Europskog parlamenta i Vijeća od 2. prosinca 2021. o utvrđivanju pravila o potpori za  </w:t>
      </w:r>
    </w:p>
    <w:p w:rsidR="006D79F3" w:rsidRDefault="00067C92">
      <w:pPr>
        <w:pStyle w:val="Normal5"/>
      </w:pPr>
      <w:r>
        <w:t xml:space="preserve">  strateške planove koje izrađuju države članice u okviru zajedničke poljoprivredne politike (strateški planovi u okviru ZPP-  </w:t>
      </w:r>
    </w:p>
    <w:p w:rsidR="006D79F3" w:rsidRDefault="00067C92">
      <w:pPr>
        <w:pStyle w:val="Normal5"/>
      </w:pPr>
      <w:r>
        <w:lastRenderedPageBreak/>
        <w:t xml:space="preserve">  a) i koji se financiraju iz Europskog fonda za jamstva u poljoprivredi (EFJP) i Europskog poljoprivrednog fonda za ruralni  </w:t>
      </w:r>
    </w:p>
    <w:p w:rsidR="006D79F3" w:rsidRDefault="00067C92">
      <w:pPr>
        <w:pStyle w:val="Normal5"/>
      </w:pPr>
      <w:r>
        <w:t xml:space="preserve">  razvoj (EPFRR) te o stavljanju izvan snage uredbi (EU) br. 1305/2013 i (EU) br. 1307/2013 </w:t>
      </w:r>
    </w:p>
    <w:p w:rsidR="006D79F3" w:rsidRDefault="00067C92">
      <w:pPr>
        <w:pStyle w:val="Normal5"/>
      </w:pPr>
      <w:r>
        <w:t xml:space="preserve">- Provedbena uredba Komisije (EU) 2022/1475 оd 6. rujna 2022. o utvrđivanju detaljnih pravila za provedbu Uredbe (EU)  </w:t>
      </w:r>
    </w:p>
    <w:p w:rsidR="006D79F3" w:rsidRDefault="00067C92">
      <w:pPr>
        <w:pStyle w:val="Normal5"/>
      </w:pPr>
      <w:r>
        <w:t xml:space="preserve">  2021/2115 Europskog parlamenta i Vijeća u pogledu evaluacije strateških planova u okviru ZPP-a i pružanja informacija  </w:t>
      </w:r>
    </w:p>
    <w:p w:rsidR="006D79F3" w:rsidRDefault="00067C92">
      <w:pPr>
        <w:pStyle w:val="Normal5"/>
      </w:pPr>
      <w:r>
        <w:t xml:space="preserve">  za praćenje i evaluaciju </w:t>
      </w:r>
    </w:p>
    <w:p w:rsidR="006D79F3" w:rsidRDefault="00067C92">
      <w:pPr>
        <w:pStyle w:val="Normal5"/>
      </w:pPr>
      <w:r>
        <w:t xml:space="preserve">- Zakon o poljoprivredi </w:t>
      </w:r>
    </w:p>
    <w:p w:rsidR="006D79F3" w:rsidRDefault="00067C92">
      <w:pPr>
        <w:pStyle w:val="Normal5"/>
      </w:pPr>
      <w:r>
        <w:t>- Zakon o potpori poljoprivredi i ruralnom razvoju</w:t>
      </w:r>
    </w:p>
    <w:tbl>
      <w:tblPr>
        <w:tblStyle w:val="StilTablice"/>
        <w:tblW w:w="10206" w:type="dxa"/>
        <w:jc w:val="center"/>
        <w:tblLook w:val="04A0" w:firstRow="1" w:lastRow="0" w:firstColumn="1" w:lastColumn="0" w:noHBand="0" w:noVBand="1"/>
      </w:tblPr>
      <w:tblGrid>
        <w:gridCol w:w="2137"/>
        <w:gridCol w:w="1403"/>
        <w:gridCol w:w="1424"/>
        <w:gridCol w:w="1424"/>
        <w:gridCol w:w="1424"/>
        <w:gridCol w:w="1424"/>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K650068-USPOSTAVA INTEGRIRANOG ADMINISTRATIVNOG  KONTROLNOG SUSTAVA - LPIS</w:t>
            </w:r>
          </w:p>
        </w:tc>
        <w:tc>
          <w:tcPr>
            <w:tcW w:w="1632" w:type="dxa"/>
          </w:tcPr>
          <w:p w:rsidR="006D79F3" w:rsidRDefault="00067C92">
            <w:pPr>
              <w:pStyle w:val="CellColumn"/>
            </w:pPr>
            <w:r>
              <w:rPr>
                <w:rFonts w:cs="Times New Roman"/>
              </w:rPr>
              <w:t>711.094</w:t>
            </w:r>
          </w:p>
        </w:tc>
        <w:tc>
          <w:tcPr>
            <w:tcW w:w="1632" w:type="dxa"/>
          </w:tcPr>
          <w:p w:rsidR="006D79F3" w:rsidRDefault="00067C92">
            <w:pPr>
              <w:pStyle w:val="CellColumn"/>
            </w:pPr>
            <w:r>
              <w:rPr>
                <w:rFonts w:cs="Times New Roman"/>
              </w:rPr>
              <w:t>1.108.373</w:t>
            </w:r>
          </w:p>
        </w:tc>
        <w:tc>
          <w:tcPr>
            <w:tcW w:w="1632" w:type="dxa"/>
          </w:tcPr>
          <w:p w:rsidR="006D79F3" w:rsidRDefault="00067C92">
            <w:pPr>
              <w:pStyle w:val="CellColumn"/>
            </w:pPr>
            <w:r>
              <w:rPr>
                <w:rFonts w:cs="Times New Roman"/>
              </w:rPr>
              <w:t>1.026.450</w:t>
            </w:r>
          </w:p>
        </w:tc>
        <w:tc>
          <w:tcPr>
            <w:tcW w:w="1632" w:type="dxa"/>
          </w:tcPr>
          <w:p w:rsidR="006D79F3" w:rsidRDefault="00067C92">
            <w:pPr>
              <w:pStyle w:val="CellColumn"/>
            </w:pPr>
            <w:r>
              <w:rPr>
                <w:rFonts w:cs="Times New Roman"/>
              </w:rPr>
              <w:t>1.055.000</w:t>
            </w:r>
          </w:p>
        </w:tc>
        <w:tc>
          <w:tcPr>
            <w:tcW w:w="1632" w:type="dxa"/>
          </w:tcPr>
          <w:p w:rsidR="006D79F3" w:rsidRDefault="00067C92">
            <w:pPr>
              <w:pStyle w:val="CellColumn"/>
            </w:pPr>
            <w:r>
              <w:rPr>
                <w:rFonts w:cs="Times New Roman"/>
              </w:rPr>
              <w:t>1.065.000</w:t>
            </w:r>
          </w:p>
        </w:tc>
        <w:tc>
          <w:tcPr>
            <w:tcW w:w="510" w:type="dxa"/>
          </w:tcPr>
          <w:p w:rsidR="006D79F3" w:rsidRDefault="00067C92">
            <w:pPr>
              <w:pStyle w:val="CellColumn"/>
            </w:pPr>
            <w:r>
              <w:rPr>
                <w:rFonts w:cs="Times New Roman"/>
              </w:rPr>
              <w:t>92,6</w:t>
            </w:r>
          </w:p>
        </w:tc>
      </w:tr>
    </w:tbl>
    <w:p w:rsidR="006D79F3" w:rsidRDefault="006D79F3">
      <w:pPr>
        <w:jc w:val="left"/>
      </w:pPr>
    </w:p>
    <w:p w:rsidR="006D79F3" w:rsidRDefault="00067C92">
      <w:r>
        <w:t xml:space="preserve">Agencija za plaćanja u poljoprivredi, ribarstvu i ruralnom razvoju je javno tijelo nadležno za operativnu provedbu intervencija izravne potpore, mjera/intervencija ruralnog razvoja, mjera za pomorstvo i ribarstvo (u dijelu delegiranih funkcija), sektorskih intervencija, nacionalnih programa potpore i ostalih tržišnih potpora, za vođenje upisnika i registara te održavanje i korištenje Integriranog administrativnog i kontrolnog sustava (IAKS-a) preko kojeg se zaprimaju, obrađuju i kontroliraju izravna plaćanja poljoprivrednicima. </w:t>
      </w:r>
    </w:p>
    <w:p w:rsidR="006D79F3" w:rsidRDefault="00067C92">
      <w:r>
        <w:t xml:space="preserve">U novoj Zajedničkoj poljoprivrednoj politici EU-a, umjesto postojećih pravila i usklađenosti, naglasak je stavljen na rezultate i djelotvornost pojedinih mjera pri čemu države članice, pa tako i Republika Hrvatska, same odlučuju kako će najbolje ispuniti zajedničke ciljeve europske poljoprivredne politike istovremeno odgovarajući na specifične potrebe svojih poljoprivrednika. </w:t>
      </w:r>
    </w:p>
    <w:p w:rsidR="006D79F3" w:rsidRDefault="00067C92">
      <w:r>
        <w:t xml:space="preserve">Osnovne zadaće APPRRR-a u tom procesu i dalje ostaju odobravanje zahtjeva uključujući administrativnu kontrolu i kontrolu na terenu. Korisnici podnose zahtjev za potporu APPRRR-u, nakon čega se utvrđuje jesu li zadovoljeni svi propisani uvjeti. Cilj APPRRR-a je kvalitetno i u zadanim rokovima obaviti sve provjere prihvatljivosti zahtjeva korisnika kako bi se ispravno odobrili zahtjevi te izvršila plaćanja.  </w:t>
      </w:r>
    </w:p>
    <w:p w:rsidR="006D79F3" w:rsidRDefault="00067C92">
      <w:r>
        <w:t xml:space="preserve">APPRRR plaćanja je odgovorna za implementaciju i održavanje Integriranog Administrativnog i Kontrolnog Sustava (IAKS) koji se koristi za odobravanje svih plaćanja u sklopu intervencija proizvodno nevezanih izravnih plaćanja, proizvodno vezanih izravnih plaćanja i intervencija iz Mjera ruralnog razvoja propisanima u Pravilniku o provedbi izravne potpore poljoprivredi i IAKS mjera ruralnog razvoja za 2023. godinu, u nacrtu Pravilnika za 2024. godinu i Strateškom planu Zajedničke poljoprivredne politike Republike Hrvatske 2023. – 2027., kao i za mjera državne potpore za iznimno osjetljive sektore iz Programa državne potpore za iznimno osjetljive sektore u poljoprivredi. Sustav broji oko 68 različitih potpora, a odobrava se ukupno 550 milijuna eura za preko 110 tisuća poljoprivrednih gospodarstava. </w:t>
      </w:r>
    </w:p>
    <w:p w:rsidR="006D79F3" w:rsidRDefault="00067C92">
      <w:r>
        <w:t xml:space="preserve">Sukladno zakonskoj regulativi potrebno je kontinuirano obavještavati poljoprivrednika o kriterijima prihvatljivosti za propisane potpore. Glavni alat za interakciju Agencije i poljoprivrednika je AGRONET aplikacija koja omogućava poljoprivrednicima pregled informacija o njihovom gospodarstvu, podnošenje zahtjeva, pregled obavijesti i odluka, te komunikaciju prema Agenciji. Primarni cilj nadogradnje AGRONETA je razvoj funkcionalnosti za potrebe kampanja u  2026., 2027., 2028. godini temeljem izmjena i dopuna pravne osnove te nadogradnja sustava za slanje obavijesti korisniku o rezultatima provedenog kontinuiranog nadzora poljoprivrednih površina, zajedno s podacima detektiranih nepravilnosti, te mogućnosti korekcije od strane korisnika u periodu za podnošenje zahtjeva (sustav ranih upozorenja). </w:t>
      </w:r>
    </w:p>
    <w:p w:rsidR="006D79F3" w:rsidRDefault="00067C92">
      <w:r>
        <w:t xml:space="preserve">Pravilnicima koji reguliraju upis u Upisnik poljoprivrednika, Upisnik OPG-a, Vinogradarski registar, Upisnik ekoloških subjekata i ostale upisnike propisana je obveza korisnika da u određenom roku prijavi sve promjene, a cilj Agencije za plaćanja u poljoprivredi, ribarstvu i ruralnom razvoju je pravovremeno i točno obraditi sve zahtjeve za </w:t>
      </w:r>
      <w:r>
        <w:lastRenderedPageBreak/>
        <w:t xml:space="preserve">upis u upisnike i registre te prijave promjena u istima kako bi registri odnosno upisnici sadržavali točne i ažurne podatke.  </w:t>
      </w:r>
    </w:p>
    <w:p w:rsidR="006D79F3" w:rsidRDefault="00067C92">
      <w:r>
        <w:t>Agencija za plaćanja u poljoprivredi, ribarstvu i ruralnom razvoju i Državna geodetska uprava potpisali su Sporazum o izradi digitalnih ortofoto karata u mjerilu 1:5000 (DOF5) u 2025. i 2026. godini. Od posebnog je značaja činjenica da Agencija za plaćanja time stiče pravo korištenja podataka iz nadležnosti DGU za poslovne potrebe održavanja i nadogradnje Integriranog Administrativnog i Kontrolnog Sustava (IAKS), kao i za uspostavu i održavanje Hrvatskog zemljišnog informacijskog sustava – (CROLIS) CROatian Land Information System, što Agenciji  omogućuje pravovremenu provedbu svih ključnih procedura i aktivnosti koje se uvijek oslanjaju na grafičke podatke iz ARKOD-a.Za ovu uslugu planirano je svake godine po 740.000 EUR-a.</w:t>
      </w:r>
    </w:p>
    <w:p w:rsidR="006D79F3" w:rsidRDefault="00067C92">
      <w:pPr>
        <w:pStyle w:val="Heading8"/>
        <w:jc w:val="left"/>
      </w:pPr>
      <w:r>
        <w:t>Pokazatelji rezultata</w:t>
      </w:r>
    </w:p>
    <w:tbl>
      <w:tblPr>
        <w:tblStyle w:val="StilTablice"/>
        <w:tblW w:w="10206" w:type="dxa"/>
        <w:jc w:val="center"/>
        <w:tblLook w:val="04A0" w:firstRow="1" w:lastRow="0" w:firstColumn="1" w:lastColumn="0" w:noHBand="0" w:noVBand="1"/>
      </w:tblPr>
      <w:tblGrid>
        <w:gridCol w:w="1914"/>
        <w:gridCol w:w="1971"/>
        <w:gridCol w:w="1747"/>
        <w:gridCol w:w="917"/>
        <w:gridCol w:w="906"/>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Ažuriranje temeljem DOF-a</w:t>
            </w:r>
          </w:p>
        </w:tc>
        <w:tc>
          <w:tcPr>
            <w:tcW w:w="2245" w:type="dxa"/>
          </w:tcPr>
          <w:p w:rsidR="006D79F3" w:rsidRDefault="00067C92">
            <w:pPr>
              <w:pStyle w:val="CellColumn"/>
            </w:pPr>
            <w:r>
              <w:rPr>
                <w:rFonts w:cs="Times New Roman"/>
              </w:rPr>
              <w:t>Postotak teritorija RH pokriven ažurnim DOF podacima</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50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50</w:t>
            </w:r>
          </w:p>
        </w:tc>
        <w:tc>
          <w:tcPr>
            <w:tcW w:w="918" w:type="dxa"/>
          </w:tcPr>
          <w:p w:rsidR="006D79F3" w:rsidRDefault="00067C92">
            <w:pPr>
              <w:pStyle w:val="CellColumn"/>
            </w:pPr>
            <w:r>
              <w:rPr>
                <w:rFonts w:cs="Times New Roman"/>
              </w:rPr>
              <w:t>50</w:t>
            </w:r>
          </w:p>
        </w:tc>
        <w:tc>
          <w:tcPr>
            <w:tcW w:w="918" w:type="dxa"/>
          </w:tcPr>
          <w:p w:rsidR="006D79F3" w:rsidRDefault="00067C92">
            <w:pPr>
              <w:pStyle w:val="CellColumn"/>
            </w:pPr>
            <w:r>
              <w:rPr>
                <w:rFonts w:cs="Times New Roman"/>
              </w:rPr>
              <w:t>50</w:t>
            </w:r>
          </w:p>
        </w:tc>
      </w:tr>
      <w:tr w:rsidR="006D79F3">
        <w:trPr>
          <w:jc w:val="center"/>
        </w:trPr>
        <w:tc>
          <w:tcPr>
            <w:tcW w:w="2245" w:type="dxa"/>
          </w:tcPr>
          <w:p w:rsidR="006D79F3" w:rsidRDefault="00067C92">
            <w:pPr>
              <w:pStyle w:val="CellColumn"/>
            </w:pPr>
            <w:r>
              <w:rPr>
                <w:rFonts w:cs="Times New Roman"/>
              </w:rPr>
              <w:t>Ažuriranje temeljem raezltata kontrole na terenu i inspekcijskih rješenje</w:t>
            </w:r>
          </w:p>
        </w:tc>
        <w:tc>
          <w:tcPr>
            <w:tcW w:w="2245" w:type="dxa"/>
          </w:tcPr>
          <w:p w:rsidR="006D79F3" w:rsidRDefault="00067C92">
            <w:pPr>
              <w:pStyle w:val="CellColumn"/>
            </w:pPr>
            <w:r>
              <w:rPr>
                <w:rFonts w:cs="Times New Roman"/>
              </w:rPr>
              <w:t>Evidentiranje postotak od ukupnog broja PG-a koji su bili predmet kontrola</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r>
      <w:tr w:rsidR="006D79F3">
        <w:trPr>
          <w:jc w:val="center"/>
        </w:trPr>
        <w:tc>
          <w:tcPr>
            <w:tcW w:w="2245" w:type="dxa"/>
          </w:tcPr>
          <w:p w:rsidR="006D79F3" w:rsidRDefault="00067C92">
            <w:pPr>
              <w:pStyle w:val="CellColumn"/>
            </w:pPr>
            <w:r>
              <w:rPr>
                <w:rFonts w:cs="Times New Roman"/>
              </w:rPr>
              <w:t>Pravovremena obrada zahtjeva korisnika</w:t>
            </w:r>
          </w:p>
        </w:tc>
        <w:tc>
          <w:tcPr>
            <w:tcW w:w="2245" w:type="dxa"/>
          </w:tcPr>
          <w:p w:rsidR="006D79F3" w:rsidRDefault="00067C92">
            <w:pPr>
              <w:pStyle w:val="CellColumn"/>
            </w:pPr>
            <w:r>
              <w:rPr>
                <w:rFonts w:cs="Times New Roman"/>
              </w:rPr>
              <w:t>Korisnici podnose Zahtjeve u podružnicama Agencije i putem Agroneta u određenom vremenskom periodu. Pravovremenom obradom osigurava se isplata poticaja i potpora u rokovima</w:t>
            </w:r>
          </w:p>
        </w:tc>
        <w:tc>
          <w:tcPr>
            <w:tcW w:w="918" w:type="dxa"/>
          </w:tcPr>
          <w:p w:rsidR="006D79F3" w:rsidRDefault="00067C92">
            <w:pPr>
              <w:pStyle w:val="CellColumn"/>
            </w:pPr>
            <w:r>
              <w:rPr>
                <w:rFonts w:cs="Times New Roman"/>
              </w:rPr>
              <w:t>broj</w:t>
            </w:r>
          </w:p>
        </w:tc>
        <w:tc>
          <w:tcPr>
            <w:tcW w:w="918" w:type="dxa"/>
          </w:tcPr>
          <w:p w:rsidR="006D79F3" w:rsidRDefault="00067C92">
            <w:pPr>
              <w:pStyle w:val="CellColumn"/>
            </w:pPr>
            <w:r>
              <w:rPr>
                <w:rFonts w:cs="Times New Roman"/>
              </w:rPr>
              <w:t>70.000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80.000</w:t>
            </w:r>
          </w:p>
        </w:tc>
        <w:tc>
          <w:tcPr>
            <w:tcW w:w="918" w:type="dxa"/>
          </w:tcPr>
          <w:p w:rsidR="006D79F3" w:rsidRDefault="00067C92">
            <w:pPr>
              <w:pStyle w:val="CellColumn"/>
            </w:pPr>
            <w:r>
              <w:rPr>
                <w:rFonts w:cs="Times New Roman"/>
              </w:rPr>
              <w:t>90.000</w:t>
            </w:r>
          </w:p>
        </w:tc>
        <w:tc>
          <w:tcPr>
            <w:tcW w:w="918" w:type="dxa"/>
          </w:tcPr>
          <w:p w:rsidR="006D79F3" w:rsidRDefault="00067C92">
            <w:pPr>
              <w:pStyle w:val="CellColumn"/>
            </w:pPr>
            <w:r>
              <w:rPr>
                <w:rFonts w:cs="Times New Roman"/>
              </w:rPr>
              <w:t>95.000</w:t>
            </w:r>
          </w:p>
        </w:tc>
      </w:tr>
    </w:tbl>
    <w:p w:rsidR="006D79F3" w:rsidRDefault="006D79F3">
      <w:pPr>
        <w:jc w:val="left"/>
      </w:pPr>
    </w:p>
    <w:p w:rsidR="006D79F3" w:rsidRDefault="00067C92">
      <w:pPr>
        <w:pStyle w:val="Heading4"/>
      </w:pPr>
      <w:r>
        <w:t>K841002 INFORMATIZACIJA</w:t>
      </w:r>
    </w:p>
    <w:p w:rsidR="006D79F3" w:rsidRDefault="00067C92">
      <w:pPr>
        <w:pStyle w:val="Heading8"/>
        <w:jc w:val="left"/>
      </w:pPr>
      <w:r>
        <w:t>Zakonske i druge pravne osnove</w:t>
      </w:r>
    </w:p>
    <w:p w:rsidR="006D79F3" w:rsidRDefault="00067C92">
      <w:pPr>
        <w:pStyle w:val="Normal5"/>
      </w:pPr>
      <w:r>
        <w:t xml:space="preserve">- Strateški plan Zajedničke poljoprivredne politike RH 2023. - 2027. </w:t>
      </w:r>
    </w:p>
    <w:p w:rsidR="006D79F3" w:rsidRDefault="00067C92">
      <w:pPr>
        <w:pStyle w:val="Normal5"/>
      </w:pPr>
      <w:r>
        <w:t xml:space="preserve">- Pravilnik o provedbi izravne potpore poljoprivredi i IAKS mjera ruralnog razvoja  </w:t>
      </w:r>
    </w:p>
    <w:p w:rsidR="006D79F3" w:rsidRDefault="00067C92">
      <w:pPr>
        <w:pStyle w:val="Normal5"/>
      </w:pPr>
      <w:r>
        <w:t xml:space="preserve">Uredba o uredskom poslovanju </w:t>
      </w:r>
    </w:p>
    <w:p w:rsidR="006D79F3" w:rsidRDefault="00067C92">
      <w:pPr>
        <w:pStyle w:val="Normal5"/>
      </w:pPr>
      <w:r>
        <w:t xml:space="preserve">- Uredba (EU) br. 2021/2115 Europskog parlamenta i Vijeća od 2. prosinca 2021. o utvrđivanju pravila o potpori za  </w:t>
      </w:r>
    </w:p>
    <w:p w:rsidR="006D79F3" w:rsidRDefault="00067C92">
      <w:pPr>
        <w:pStyle w:val="Normal5"/>
      </w:pPr>
      <w:r>
        <w:t xml:space="preserve">  strateške planove koje izrađuju države članice u okviru zajedničke poljoprivredne politike (strateški planovi u okviru  </w:t>
      </w:r>
    </w:p>
    <w:p w:rsidR="006D79F3" w:rsidRDefault="00067C92">
      <w:pPr>
        <w:pStyle w:val="Normal5"/>
      </w:pPr>
      <w:r>
        <w:t xml:space="preserve">  ZPP-a) i koji se financiraju iz Europskog fonda za jamstva u poljoprivredi (EFJP) i Europskog poljoprivrednog fonda za  </w:t>
      </w:r>
    </w:p>
    <w:p w:rsidR="006D79F3" w:rsidRDefault="00067C92">
      <w:pPr>
        <w:pStyle w:val="Normal5"/>
      </w:pPr>
      <w:r>
        <w:t xml:space="preserve">  ruralni razvoj (EPFRR) te o stavljanju izvan snage uredbi (EU) br. 1305/2013 i (EU) br. 1307/2013 </w:t>
      </w:r>
    </w:p>
    <w:p w:rsidR="006D79F3" w:rsidRDefault="00067C92">
      <w:pPr>
        <w:pStyle w:val="Normal5"/>
      </w:pPr>
      <w:r>
        <w:t xml:space="preserve">- Provedbena uredba Komisije (EU) 2022/1475 оd 6. rujna 2022. o utvrđivanju detaljnih pravila za provedbu Uredbe  </w:t>
      </w:r>
    </w:p>
    <w:p w:rsidR="006D79F3" w:rsidRDefault="00067C92">
      <w:pPr>
        <w:pStyle w:val="Normal5"/>
      </w:pPr>
      <w:r>
        <w:t xml:space="preserve">  (EU) 2021/2115 Europskog parlamenta i Vijeća u pogledu evaluacije strateških planova u okviru ZPP-a i pružanja  </w:t>
      </w:r>
    </w:p>
    <w:p w:rsidR="006D79F3" w:rsidRDefault="00067C92">
      <w:pPr>
        <w:pStyle w:val="Normal5"/>
      </w:pPr>
      <w:r>
        <w:t xml:space="preserve">  informacija za praćenje i evaluaciju </w:t>
      </w:r>
    </w:p>
    <w:p w:rsidR="006D79F3" w:rsidRDefault="00067C92">
      <w:pPr>
        <w:pStyle w:val="Normal5"/>
      </w:pPr>
      <w:r>
        <w:lastRenderedPageBreak/>
        <w:t xml:space="preserve">- Uredba (EU) br. 2021/2116 Europskog parlamenta i Vijeća od 2. prosinca 2021. o financiranju i nadzoru zajedničke  </w:t>
      </w:r>
    </w:p>
    <w:p w:rsidR="006D79F3" w:rsidRDefault="00067C92">
      <w:pPr>
        <w:pStyle w:val="Normal5"/>
      </w:pPr>
      <w:r>
        <w:t xml:space="preserve">  poljoprivredne politike te upravljanju njome i o stavljanju izvan snage Uredbe (EU) br. 1306/2013 </w:t>
      </w:r>
    </w:p>
    <w:p w:rsidR="006D79F3" w:rsidRDefault="00067C92">
      <w:pPr>
        <w:pStyle w:val="Normal5"/>
      </w:pPr>
      <w:r>
        <w:t xml:space="preserve">- Delegirana uredba Komisije (EU) 2022/127 оd 7. prosinca 2021. o dopuni Uredbe (EU) 2021/2116 Europskog  </w:t>
      </w:r>
    </w:p>
    <w:p w:rsidR="006D79F3" w:rsidRDefault="00067C92">
      <w:pPr>
        <w:pStyle w:val="Normal5"/>
      </w:pPr>
      <w:r>
        <w:t xml:space="preserve">  parlamenta i Vijeća pravilima o agencijama za plaćanja i drugim tijelima, financijskom upravljanju, poravnanju računa,  </w:t>
      </w:r>
    </w:p>
    <w:p w:rsidR="006D79F3" w:rsidRDefault="00067C92">
      <w:pPr>
        <w:pStyle w:val="Normal5"/>
      </w:pPr>
      <w:r>
        <w:t xml:space="preserve">  sredstvima osiguranja i upotrebi eura </w:t>
      </w:r>
    </w:p>
    <w:p w:rsidR="006D79F3" w:rsidRDefault="00067C92">
      <w:pPr>
        <w:pStyle w:val="Normal5"/>
      </w:pPr>
      <w:r>
        <w:t xml:space="preserve">- Provedbena uredba Komisije (EU) 2022/128 оd 21. prosinca 2021. o utvrđivanju pravila za primjenu Uredbe (EU)  </w:t>
      </w:r>
    </w:p>
    <w:p w:rsidR="006D79F3" w:rsidRDefault="00067C92">
      <w:pPr>
        <w:pStyle w:val="Normal5"/>
      </w:pPr>
      <w:r>
        <w:t xml:space="preserve">  2021/2116 Europskog parlamenta i Vijeća u pogledu agencija za plaćanja i drugih tijela, financijskog upravljanja,  </w:t>
      </w:r>
    </w:p>
    <w:p w:rsidR="006D79F3" w:rsidRDefault="00067C92">
      <w:pPr>
        <w:pStyle w:val="Normal5"/>
      </w:pPr>
      <w:r>
        <w:t xml:space="preserve">  poravnanja računa, provjera, sredstava osiguranja i transparentnosti</w:t>
      </w:r>
    </w:p>
    <w:tbl>
      <w:tblPr>
        <w:tblStyle w:val="StilTablice"/>
        <w:tblW w:w="10206" w:type="dxa"/>
        <w:jc w:val="center"/>
        <w:tblLook w:val="04A0" w:firstRow="1" w:lastRow="0" w:firstColumn="1" w:lastColumn="0" w:noHBand="0" w:noVBand="1"/>
      </w:tblPr>
      <w:tblGrid>
        <w:gridCol w:w="1914"/>
        <w:gridCol w:w="1448"/>
        <w:gridCol w:w="1449"/>
        <w:gridCol w:w="1475"/>
        <w:gridCol w:w="1475"/>
        <w:gridCol w:w="1475"/>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K841002-INFORMATIZACIJA</w:t>
            </w:r>
          </w:p>
        </w:tc>
        <w:tc>
          <w:tcPr>
            <w:tcW w:w="1632" w:type="dxa"/>
          </w:tcPr>
          <w:p w:rsidR="006D79F3" w:rsidRDefault="00067C92">
            <w:pPr>
              <w:pStyle w:val="CellColumn"/>
            </w:pPr>
            <w:r>
              <w:rPr>
                <w:rFonts w:cs="Times New Roman"/>
              </w:rPr>
              <w:t>3.516.426</w:t>
            </w:r>
          </w:p>
        </w:tc>
        <w:tc>
          <w:tcPr>
            <w:tcW w:w="1632" w:type="dxa"/>
          </w:tcPr>
          <w:p w:rsidR="006D79F3" w:rsidRDefault="00067C92">
            <w:pPr>
              <w:pStyle w:val="CellColumn"/>
            </w:pPr>
            <w:r>
              <w:rPr>
                <w:rFonts w:cs="Times New Roman"/>
              </w:rPr>
              <w:t>7.502.846</w:t>
            </w:r>
          </w:p>
        </w:tc>
        <w:tc>
          <w:tcPr>
            <w:tcW w:w="1632" w:type="dxa"/>
          </w:tcPr>
          <w:p w:rsidR="006D79F3" w:rsidRDefault="00067C92">
            <w:pPr>
              <w:pStyle w:val="CellColumn"/>
            </w:pPr>
            <w:r>
              <w:rPr>
                <w:rFonts w:cs="Times New Roman"/>
              </w:rPr>
              <w:t>10.798.517</w:t>
            </w:r>
          </w:p>
        </w:tc>
        <w:tc>
          <w:tcPr>
            <w:tcW w:w="1632" w:type="dxa"/>
          </w:tcPr>
          <w:p w:rsidR="006D79F3" w:rsidRDefault="00067C92">
            <w:pPr>
              <w:pStyle w:val="CellColumn"/>
            </w:pPr>
            <w:r>
              <w:rPr>
                <w:rFonts w:cs="Times New Roman"/>
              </w:rPr>
              <w:t>10.568.116</w:t>
            </w:r>
          </w:p>
        </w:tc>
        <w:tc>
          <w:tcPr>
            <w:tcW w:w="1632" w:type="dxa"/>
          </w:tcPr>
          <w:p w:rsidR="006D79F3" w:rsidRDefault="00067C92">
            <w:pPr>
              <w:pStyle w:val="CellColumn"/>
            </w:pPr>
            <w:r>
              <w:rPr>
                <w:rFonts w:cs="Times New Roman"/>
              </w:rPr>
              <w:t>11.275.768</w:t>
            </w:r>
          </w:p>
        </w:tc>
        <w:tc>
          <w:tcPr>
            <w:tcW w:w="510" w:type="dxa"/>
          </w:tcPr>
          <w:p w:rsidR="006D79F3" w:rsidRDefault="00067C92">
            <w:pPr>
              <w:pStyle w:val="CellColumn"/>
            </w:pPr>
            <w:r>
              <w:rPr>
                <w:rFonts w:cs="Times New Roman"/>
              </w:rPr>
              <w:t>143,9</w:t>
            </w:r>
          </w:p>
        </w:tc>
      </w:tr>
    </w:tbl>
    <w:p w:rsidR="006D79F3" w:rsidRDefault="006D79F3">
      <w:pPr>
        <w:jc w:val="left"/>
      </w:pPr>
    </w:p>
    <w:p w:rsidR="006D79F3" w:rsidRDefault="00067C92">
      <w:r>
        <w:t xml:space="preserve">Poslovni procesi Agencije za plaćanja u poljoprivredi, ribarstvu i ruralnom razvoju su informatizirani i digitalizirani. Ključni tehnološki izazov za APPRRR jest održavanje i stalna modernizacija informacijskih sustava koji predstavljaju temelj za učinkovito provođenje poljoprivrednih politika i kontrolu potpora. Daljnji tehnološki razvoj usmjeren je na digitalizaciju procesa i razvoj e-usluga pri čemu je poljoprivrednicima omogućeno elektroničko podnošenje zahtjeva za upis/ispis/promjene u Upisniku poljoprivrednika i Upisniku obiteljskih poljoprivrednih gospodarstava. Ovi sustavi znatno povećavaju učinkovitost i dostupnost usluga, ali istodobno zahtijevaju kontinuirana ulaganja u IT infrastrukturu, korisničku podršku i obuku zaposlenika. Sve veća digitalna povezanost otvara i nova sigurnosna pitanja pri čemu kibernetička sigurnost postaje jedan od prioriteta. Tehnološki napredak donosi i nove prilike za inovacije. Primjena satelitskog nadzora (monitoring) i umjetne inteligencije otvara mogućnost kontinuiranog i preciznog nadzora površina, bržeg prepoznavanja nepravilnosti i učinkovitijeg upravljanja rizicima. U konačnici, tehnološki kontekst za APPRRR obilježen je brzim razvojem digitalnih alata, potrebom za stalnim ulaganjima u IT infrastrukturu i rastućim zahtjevima za sigurnost uz održavanje ravnoteže između inovacija, sigurnosti i pouzdanosti sustava. </w:t>
      </w:r>
    </w:p>
    <w:p w:rsidR="006D79F3" w:rsidRDefault="00067C92">
      <w:r>
        <w:t xml:space="preserve">Informacijski sustav APPRRR-a (ISA) predstavlja integrirani multifunkcionalni sustav za podršku cjelokupnom radu APPRRR-a te je kao takav, zajedno s odgovarajućom stručnom tehničkom podrškom nužan za nesmetano odvijanje svih poslovnih procesa. Nadogradnja i održavanje ISA sustava provodi se kroz godišnje odnosno višegodišnje projekte vođene po PMI metodologiji, pri čemu se posebna pažnja posvećuje razvoju softvera na način da se isti posebno nadzire i kontinuirano prilagođava stvarnim potrebama.  </w:t>
      </w:r>
    </w:p>
    <w:p w:rsidR="006D79F3" w:rsidRDefault="00067C92">
      <w:r>
        <w:t xml:space="preserve">Informacijski sustav osigurava izvršavanje složenih aktivnosti u procesu odobravanja potpora:  podnošenje Jedinstvenog zahtjeva, preuzimanje podataka s Jedinstvenog zahtjeva i obradu istih, preuzimanje rezultata kontrole na terenu, brze terenske kontrole i ažuriranja ARKOD sustava (nacionalni sustav identifikacije zemljišnih parcela), stvaranje sloja prostornih podataka (prostornog preklopa) s integriranim podacima Jedinstvenog zahtjeva, kontrole na terenu trenutnih i retroaktivnih podataka, stanje ARKOD parcela na zadnji dan podnošenja zahtjeva u kampanji, uključivanje baza Jedinstvenog registra domaćih životinja, vođenje podataka u registru prava na plaćanja, višestruke provjere svih kriterija prihvatljivosti za dodjelu potpora, pojedinačne izračune svih potpora i izračune administrativnih kazni kao i izračune plaćanja i odobravanje slogova za isplate.  </w:t>
      </w:r>
    </w:p>
    <w:p w:rsidR="006D79F3" w:rsidRDefault="00067C92">
      <w:r>
        <w:t xml:space="preserve">U 2026. godini nastaviti će se nadogradnja IAKS sustava u vidu implementacije novih intervencija proizvodno nevezanih i vezanih izravnih plaćanja te IAKS mjera ruralnog razvoja. Potrebno je osigurati nadogradnju registra prava na plaćanja sukladno novom ZPP te poslovne procese zajedničkih kriterija uvjetovanosti za sve potpore izravnih plaćanja i IAKS mjere ruralnog razvoja.  </w:t>
      </w:r>
    </w:p>
    <w:p w:rsidR="006D79F3" w:rsidRDefault="00067C92">
      <w:r>
        <w:t xml:space="preserve">Sukladno zakonskoj regulativi potrebno je kontinuirano obavještavati poljoprivrednika o kriterijima prihvatljivosti za propisane potpore. Glavni alat za interakciju Agencije i poljoprivrednika je AGRONET aplikacija koja omogućava poljoprivrednicima pregled informacija o njihovom gospodarstvu, podnošenje zahtjeva, pregled obavijesti i odluka, </w:t>
      </w:r>
      <w:r>
        <w:lastRenderedPageBreak/>
        <w:t xml:space="preserve">te komunikaciju prema Agenciji. Primarni cilj nadogradnje AGRONETA je razvoj funkcionalnosti za potrebe kampanje 2025. temeljem izmjena i dopuna pravne osnove te nadogradnja sustava za slanje obavijesti korisniku o rezultatima provedenog kontinuiranog nadzora poljoprivrednih površina, zajedno s podacima detektiranih nepravilnosti, te mogućnosti korekcije od strane korisnika u periodu za podnošenje zahtjeva (sustav ranih upozorenja). </w:t>
      </w:r>
    </w:p>
    <w:p w:rsidR="006D79F3" w:rsidRDefault="00067C92">
      <w:r>
        <w:t xml:space="preserve">Temeljem sporazuma za 2025. i 2026.godinu nastaviti će se implementacija vrlo zahtjevnog Monitoring sustava kako bi se omogućila preciznija detekcija promjena na poljoprivrednom zemljištu (ARKOD) kao i na poljoprivrednim parcelama (Jedinstveni zahtjev), a sve u cilju boljeg nadzora poljoprivrednih površina za potrebe odobravanja potpora u sklopu izravnih plaćanja i IAKS mjera ruralnog razvoja. Ove nadogradnje uključuju razvoj sustava za detekciju promjena na zemljištu, nadogradnju markera i semafora s dodatnim kriterijima koristeći postojeće Sentinel 2 podatke, te konačno vizualizaciju svih prostornih podataka na GeoPortalu. Cilj nadogradnji sustava za monitoring je potpuno uvođenje nadzora svih poljoprivrednih površina za potrebe novog programskog razdoblja. U Sklopu procesa Monitoringa je razvijen sustav za evidentiranje, obradu i arhiviranje geotagiranih fotografija (GTF), zajedno s mobilnom aplikacijom AgroGTF za dostavu istih. U sve tri godine 2026.g., 2027. i 2028.  biti će potrebne daljnje nadogradnje sustava za evidentiranje, obradu i arhiviranje geotagiranih fotografija, zajedno s mobilnom aplikacijom u svrhu dokazivanja uvjeta prihvatljivosti i provedbe obveza.  Preko aplikacije Ekspertna procjena implementirana je mogućnost korištenja rezultata nadzora poljoprivrednih površina za preventivne izmjene zahtjeva kroz AGRONET sustav. Dobiveni rezultati se trebaju implementirati u novi sustav odobravanja za sve višestruke provjere na području cijele Republike Hrvatske.  Isto tako u aplikacije Ekspertne procjene potrebno je implementirati sve mjere novih intervencija te raditi na daljnjoj nadogradnji i usavršavanju aplikacije.  </w:t>
      </w:r>
    </w:p>
    <w:p w:rsidR="006D79F3" w:rsidRDefault="00067C92">
      <w:r>
        <w:t xml:space="preserve">Za IAKS mjere ruralnog razvoja razvijen je sustav praćenja višegodišnjih obveza prostorno i alfanumerički kroz registar višegodišnjih obveza i izračun kršenja višegodišnjih obveza. U 2026.g. potrebna je nadogradnja IAKS intervencija ruralnog razvoja iz Strateškog plana Zajedničke poljoprivredne politike Republike Hrvatske 2023. - 2027. </w:t>
      </w:r>
    </w:p>
    <w:p w:rsidR="006D79F3" w:rsidRDefault="00067C92">
      <w:r>
        <w:t xml:space="preserve">Temelj za pripremu, zaprimanje i odobravanje svih zahtjeva za izravna plaćanja i IAKS mjera ruralnog razvoja je održavanje i nadogradnja aplikativnih modula Registara. Cilj nadogradnje podsustava za registre je razvoj i nadogradnja postojećeg Upisnika poljoprivrednika i Upisnika obiteljskih poljoprivrednih gospodarstava sukladno izmjenama pravnih osnova. Potrebna je nadogradnja povezanih registara (vinogradarski registar, EKO/EKOP registar), kao i bolja poveznica na Jedinstveni registar domaćih životinja te razvoj potrebnih funkcionalnosti za održavanje ARKOD-a. U sklopu nadogradnji ARKOD sustava potrebno je nastaviti razvoj novog sustava za import novih ortofoto snimaka, te provedbu ARKOD ažuriranja primjenom novog DOF-a, verifikaciju poljoprivrednih parcela na područjima novog DOF-a, te nadograditi sustav za provedbu BTP kontrola (brzih terenskih kontrola), te detekciju i administraciju neprihvatljivih površina. </w:t>
      </w:r>
    </w:p>
    <w:p w:rsidR="006D79F3" w:rsidRDefault="00067C92">
      <w:r>
        <w:t xml:space="preserve">ISRiF predstavlja računovodstveno-financijski sustav pomoću kojeg se vrše isplate korisnicima svih mjera koje provodi Agencija za plaćanja u poljoprivredi, ribarstvu i ruralnom razvoju te pomoću kojeg se provodi računovodstveno evidentiranje poslovnih događaja i priprema propisanih financijskih izvještaja. Konstantno održavanje i nadogradnja ovog sustava je nužno kako bi podaci u sustavu bili točni, kako bi se isplate mogle izvršavati točno i pravovremeno te kako bi korisnici imali sve informacije o svojim potraživanjima i eventualnim dugovanjima, a sve to uz poštivanje nacionalnog i EU zakonodavstva i njegovih izmjena na koje sustav mora biti spreman pravovremeno odgovoriti. Osim što ISRiF mora biti spreman na eventualne izmjene u nacionalnom i EU zakonodavstvu, također mora pratiti i eventualne nalaze nacionalnih revizija kao i revizija tijela EK. Podaci koji su potrebni za izvršenje plaćanja ili naplate dugova se zaprimaju kroz modul odobravanja plaćanja te se povlače u modul Financije kroz koji se vrše plaćanja, u Knjigu dužnika radi evidencije i poduzimanja mjera za povrat duga, u modul SAP Računovodstvo radi evidentiranja poslovnih događaja i u modul Poslovno upravljanje koji je osnova za izvještavanje prema Europskoj komisiji (EK).  </w:t>
      </w:r>
    </w:p>
    <w:p w:rsidR="006D79F3" w:rsidRDefault="00067C92">
      <w:r>
        <w:t xml:space="preserve">Osim ISRiF-a, predmet nabave je i poslovno-izvještajni sustav (BIS) koji omogućava pojednostavljeni prikaz podataka iz drugih modula i izvora podataka vezanih za podatke o korisnicima, njihovim natječajima, poljoprivrednim površinama, isplatama i sl. BIS se koristi pri izradi izvještaja prema EK, Ministarstvu poljoprivrede i drugim tijelima javne uprave. Dodatno, uvođenjem poslovno-izvještajnog sustava znatno se olakšao rad djelatnika Agencije prilikom povlačenja podatka kod upita zainteresiranih strana. </w:t>
      </w:r>
    </w:p>
    <w:p w:rsidR="006D79F3" w:rsidRDefault="00067C92">
      <w:r>
        <w:t xml:space="preserve">Također je potrebno provesti nadogradnju sustava sukladno nalazima različitih revizija, kao što je implementacija izvještaja po dospijeću  temeljem nalaza revizije Državnog ureda za reviziju, zatim kreiranje izvještaja o dugovima koje propisuje Europska komisija jer je dosadašnji način pripreme izvještaja koji je samo jednim dijelom implementiran u sustav podložan greškama zbog ručne obrade podataka i sama izrada traje relativno dugo – nalaz Agencije za reviziju sustava provedbe programa Europske unije.  </w:t>
      </w:r>
    </w:p>
    <w:p w:rsidR="006D79F3" w:rsidRDefault="00067C92">
      <w:r>
        <w:lastRenderedPageBreak/>
        <w:t xml:space="preserve">Najveća promjena na rashodovnoj strani u odnosu na prethodne godine, odnosi se na računalne programe. Ulaganja u računalne programe Agencija je do sada evidentirala je na kontu 3238 računalne usluge. Temeljem preporuke Državne revizije, Agencija će s danom 31.12.2025.g. iste evidentirati na razredu 0 – Nefinancijska imovina, 0124 Ostala prava. </w:t>
      </w:r>
    </w:p>
    <w:p w:rsidR="006D79F3" w:rsidRDefault="00067C92">
      <w:r>
        <w:t xml:space="preserve">Stoga su u proračunu za naredne tri godine znatno smanjeni rashodi na skupini 32 Materijalni rashodi, a povećani na razredu 4.  </w:t>
      </w:r>
    </w:p>
    <w:p w:rsidR="006D79F3" w:rsidRDefault="00067C92">
      <w:r>
        <w:t xml:space="preserve">Osima nadogradnje i održavanja sustava, i u narednim godinama planira se ulaganje u infrastrukturu. Prije svega potrebno je zamijeniti osobna računala jer su dotrajala. Plan je godišnje zanoviti 30% računala te kupnja dodatnih 200 računala za nove zaposlenike. Temeljem iskustava iz prethodnih godina, nužno je svake poslovne godine dodati IT resurse u sustav kako bi mogli odgovoriti na zahtjeve koji su svake godine uvećani zbog prirode samog poslovanja. Prihvaćaju se novi projekti, te se samim time povećava i potreba za pohranom podataka i većom procesorskom i memorijskom snagom sustava. </w:t>
      </w:r>
    </w:p>
    <w:p w:rsidR="006D79F3" w:rsidRDefault="00067C92">
      <w:r>
        <w:t>Sa 30.06.2025.g. završeno je korištenje TP PRR, odnosno koristenje.  Proračun SP ZPP je vrlo ograničen stoga će dio troškova koji se niz godina financirao iz TP plaćati iz Općih prihoda i primitaka, odnosno izvora 11.</w:t>
      </w:r>
    </w:p>
    <w:p w:rsidR="006D79F3" w:rsidRDefault="00067C92">
      <w:pPr>
        <w:pStyle w:val="Heading4"/>
      </w:pPr>
      <w:r>
        <w:t>T841008 HRVATSKI ZEMLJIŠNI INFORMACIJSKI SUSTAV - CROLIS</w:t>
      </w:r>
    </w:p>
    <w:p w:rsidR="006D79F3" w:rsidRDefault="00067C92">
      <w:pPr>
        <w:pStyle w:val="Heading8"/>
        <w:jc w:val="left"/>
      </w:pPr>
      <w:r>
        <w:t>Zakonske i druge pravne osnove</w:t>
      </w:r>
    </w:p>
    <w:p w:rsidR="006D79F3" w:rsidRDefault="00067C92">
      <w:pPr>
        <w:pStyle w:val="Normal5"/>
      </w:pPr>
      <w:r>
        <w:t xml:space="preserve">- Partnerski sporazum između Ministarstva gospodarstva i održivog razvoja i Agencije za plaćanja u </w:t>
      </w:r>
    </w:p>
    <w:p w:rsidR="006D79F3" w:rsidRDefault="00067C92">
      <w:pPr>
        <w:pStyle w:val="Normal5"/>
      </w:pPr>
      <w:r>
        <w:t xml:space="preserve">  poljoprivredi, ribarstvu i ruralnom razvoju </w:t>
      </w:r>
    </w:p>
    <w:p w:rsidR="006D79F3" w:rsidRDefault="00067C92">
      <w:pPr>
        <w:pStyle w:val="Normal5"/>
      </w:pPr>
      <w:r>
        <w:t xml:space="preserve">- Pravilnik o unutarnjem ustrojstvu i sistematizaciji radnih mjesta </w:t>
      </w:r>
    </w:p>
    <w:p w:rsidR="006D79F3" w:rsidRDefault="00067C92">
      <w:pPr>
        <w:pStyle w:val="Normal5"/>
      </w:pPr>
      <w:r>
        <w:t>- LULUCF uredba i Pariški sporazum (EU zakonodovastvo)</w:t>
      </w:r>
    </w:p>
    <w:tbl>
      <w:tblPr>
        <w:tblStyle w:val="StilTablice"/>
        <w:tblW w:w="10206" w:type="dxa"/>
        <w:jc w:val="center"/>
        <w:tblLook w:val="04A0" w:firstRow="1" w:lastRow="0" w:firstColumn="1" w:lastColumn="0" w:noHBand="0" w:noVBand="1"/>
      </w:tblPr>
      <w:tblGrid>
        <w:gridCol w:w="1638"/>
        <w:gridCol w:w="1538"/>
        <w:gridCol w:w="1527"/>
        <w:gridCol w:w="1527"/>
        <w:gridCol w:w="1503"/>
        <w:gridCol w:w="1503"/>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T841008-HRVATSKI ZEMLJIŠNI INFORMACIJSKI SUSTAV - CROLIS</w:t>
            </w:r>
          </w:p>
        </w:tc>
        <w:tc>
          <w:tcPr>
            <w:tcW w:w="1632" w:type="dxa"/>
          </w:tcPr>
          <w:p w:rsidR="006D79F3" w:rsidRDefault="00067C92">
            <w:pPr>
              <w:pStyle w:val="CellColumn"/>
            </w:pPr>
            <w:r>
              <w:rPr>
                <w:rFonts w:cs="Times New Roman"/>
              </w:rPr>
              <w:t>110.471</w:t>
            </w:r>
          </w:p>
        </w:tc>
        <w:tc>
          <w:tcPr>
            <w:tcW w:w="1632" w:type="dxa"/>
          </w:tcPr>
          <w:p w:rsidR="006D79F3" w:rsidRDefault="00067C92">
            <w:pPr>
              <w:pStyle w:val="CellColumn"/>
            </w:pPr>
            <w:r>
              <w:rPr>
                <w:rFonts w:cs="Times New Roman"/>
              </w:rPr>
              <w:t>287.608</w:t>
            </w:r>
          </w:p>
        </w:tc>
        <w:tc>
          <w:tcPr>
            <w:tcW w:w="1632" w:type="dxa"/>
          </w:tcPr>
          <w:p w:rsidR="006D79F3" w:rsidRDefault="00067C92">
            <w:pPr>
              <w:pStyle w:val="CellColumn"/>
            </w:pPr>
            <w:r>
              <w:rPr>
                <w:rFonts w:cs="Times New Roman"/>
              </w:rPr>
              <w:t>337.395</w:t>
            </w:r>
          </w:p>
        </w:tc>
        <w:tc>
          <w:tcPr>
            <w:tcW w:w="1632" w:type="dxa"/>
          </w:tcPr>
          <w:p w:rsidR="006D79F3" w:rsidRDefault="00067C92">
            <w:pPr>
              <w:pStyle w:val="CellColumn"/>
            </w:pPr>
            <w:r>
              <w:rPr>
                <w:rFonts w:cs="Times New Roman"/>
              </w:rPr>
              <w:t>00</w:t>
            </w:r>
          </w:p>
        </w:tc>
        <w:tc>
          <w:tcPr>
            <w:tcW w:w="1632" w:type="dxa"/>
          </w:tcPr>
          <w:p w:rsidR="006D79F3" w:rsidRDefault="00067C92">
            <w:pPr>
              <w:pStyle w:val="CellColumn"/>
            </w:pPr>
            <w:r>
              <w:rPr>
                <w:rFonts w:cs="Times New Roman"/>
              </w:rPr>
              <w:t>00</w:t>
            </w:r>
          </w:p>
        </w:tc>
        <w:tc>
          <w:tcPr>
            <w:tcW w:w="510" w:type="dxa"/>
          </w:tcPr>
          <w:p w:rsidR="006D79F3" w:rsidRDefault="00067C92">
            <w:pPr>
              <w:pStyle w:val="CellColumn"/>
            </w:pPr>
            <w:r>
              <w:rPr>
                <w:rFonts w:cs="Times New Roman"/>
              </w:rPr>
              <w:t>117,3</w:t>
            </w:r>
          </w:p>
        </w:tc>
      </w:tr>
    </w:tbl>
    <w:p w:rsidR="006D79F3" w:rsidRDefault="006D79F3">
      <w:pPr>
        <w:jc w:val="left"/>
      </w:pPr>
    </w:p>
    <w:p w:rsidR="006D79F3" w:rsidRDefault="00067C92">
      <w:r>
        <w:t xml:space="preserve">Agencija za plaćanja je partnerska institucija u LIFE CROLIS projektu koji se u Republici Hrvatskoj provodi od 01.listopada 2020. godine pod oznakom   LIFE19 GIC/HR/001270. Ukupna vrijednost Projekta je 6,248.735 EUR, čega EU financiranje iznosi 2,588.207 EUR. Nositelj i koordinator Projekta je Ministarstvo zaštite okoliša i zelene tranzicije (MZOZT), dok su ostale partnerske institucije pored Agencije za plaćanja, Hrvatske šume d.o.o., Državna geodetska uprava i Ekonerg d.o.o. Prvobitan rok za završetak Projekta bio je 30.travnja 2024. godine, koji je prvim produljenjem promijenjen na 31. prosinca 2026. godine. Glavni razlog za produljenje je kašnjenje s ključnim aktivnostima, te u činjenici što je u lipnju 2023. godine MZOZT pokrenuo nabavu IT opreme pod oznakom 804/02-22/05JN, za koju se očekivalo da će se pokrenuti, no MZOZT je ipak poništio postupak 04.ožujka 2025. godine.  </w:t>
      </w:r>
    </w:p>
    <w:p w:rsidR="006D79F3" w:rsidRDefault="00067C92">
      <w:r>
        <w:t xml:space="preserve">Trenutno se razmatra odluku o novom pokretanju javnih nabava za potrebe Agencije uz uvjet da se zbog kratkih rokova, prethodno mora ostvariti i drugo produljenje trajanja Projekta s rokom do kraja 2027. godine. U periodu do kraja 2027. godine CROLIS VLU (Vektorski Land Use)  sustav bi trebao biti uspostavljen, sa prvim setovima ARKOD+(PLUS) podataka počevši od 2020. godine na dalje. Temeljem ovih podataka zajedno sa postojećim ARKOD podacima osigurati će se relevantni izvori podataka za potrebe klimatskih izvještavanja, posebno iz domene obračuna emisija stakleničkih plinova unutar LULUCF (Land Use Land Use Change and Forestry) sektora. </w:t>
      </w:r>
    </w:p>
    <w:p w:rsidR="006D79F3" w:rsidRDefault="00067C92">
      <w:r>
        <w:t xml:space="preserve">Također će se po prvi puta u RH uspostaviti sustav za praćenje trenutnog stanja i nastalih promjena na ukupnim poljoprivrednim površinama uz primjenu modernih tehnologija, temeljenih na principima strojnog i dubokog učenja, te upotrebom satelitskih i drugih prostornih podataka visoke rezolucije. Sustav će svake godine producirati nove referentne podatke o poljoprivrednim površinama, koji će osim primarne funkcije za potrebe izvješćivanja iz domene klimatskih promjena, biti primjenjiv i za čitav niz drugih namjene, od strateškog planiranja zemljišnim resursima, pa do prostornog planiranja i praćenja promjena i brzog reagiranja u zaštićenim područjima. </w:t>
      </w:r>
    </w:p>
    <w:p w:rsidR="006D79F3" w:rsidRDefault="00067C92">
      <w:r>
        <w:lastRenderedPageBreak/>
        <w:t>Zbog promjene zakonskih odredbi u evidenciji projekata EU,  sredstva su planirana na izvoru 12 Sredstva učešća za pomoći i na izvoru 510 Pomoći Unije. U 2026.g. Agencija će projekt predfinancirati s izvora 51011, a po predaji konačnog izvješća u 2027.g. biti će isplaćen ostatak ugovorenih prihvatljivih troškova.</w:t>
      </w:r>
    </w:p>
    <w:p w:rsidR="006D79F3" w:rsidRDefault="00067C92">
      <w:pPr>
        <w:pStyle w:val="Heading8"/>
        <w:jc w:val="left"/>
      </w:pPr>
      <w:r>
        <w:t>Pokazatelji rezultata</w:t>
      </w:r>
    </w:p>
    <w:tbl>
      <w:tblPr>
        <w:tblStyle w:val="StilTablice"/>
        <w:tblW w:w="10206" w:type="dxa"/>
        <w:jc w:val="center"/>
        <w:tblLook w:val="04A0" w:firstRow="1" w:lastRow="0" w:firstColumn="1" w:lastColumn="0" w:noHBand="0" w:noVBand="1"/>
      </w:tblPr>
      <w:tblGrid>
        <w:gridCol w:w="1909"/>
        <w:gridCol w:w="1933"/>
        <w:gridCol w:w="1789"/>
        <w:gridCol w:w="917"/>
        <w:gridCol w:w="907"/>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Osigurani odgovarajući ljudski potencijali</w:t>
            </w:r>
          </w:p>
        </w:tc>
        <w:tc>
          <w:tcPr>
            <w:tcW w:w="2245" w:type="dxa"/>
          </w:tcPr>
          <w:p w:rsidR="006D79F3" w:rsidRDefault="00067C92">
            <w:pPr>
              <w:pStyle w:val="CellColumn"/>
            </w:pPr>
            <w:r>
              <w:rPr>
                <w:rFonts w:cs="Times New Roman"/>
              </w:rPr>
              <w:t>Zapošljavanje stručnih ljudi sukladno specifikaciji projektnog zadatka</w:t>
            </w:r>
          </w:p>
        </w:tc>
        <w:tc>
          <w:tcPr>
            <w:tcW w:w="918" w:type="dxa"/>
          </w:tcPr>
          <w:p w:rsidR="006D79F3" w:rsidRDefault="00067C92">
            <w:pPr>
              <w:pStyle w:val="CellColumn"/>
            </w:pPr>
            <w:r>
              <w:rPr>
                <w:rFonts w:cs="Times New Roman"/>
              </w:rPr>
              <w:t>broj</w:t>
            </w:r>
          </w:p>
        </w:tc>
        <w:tc>
          <w:tcPr>
            <w:tcW w:w="918" w:type="dxa"/>
          </w:tcPr>
          <w:p w:rsidR="006D79F3" w:rsidRDefault="00067C92">
            <w:pPr>
              <w:pStyle w:val="CellColumn"/>
            </w:pPr>
            <w:r>
              <w:rPr>
                <w:rFonts w:cs="Times New Roman"/>
              </w:rPr>
              <w:t>10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15</w:t>
            </w:r>
          </w:p>
        </w:tc>
        <w:tc>
          <w:tcPr>
            <w:tcW w:w="918" w:type="dxa"/>
          </w:tcPr>
          <w:p w:rsidR="006D79F3" w:rsidRDefault="00067C92">
            <w:pPr>
              <w:pStyle w:val="CellColumn"/>
            </w:pPr>
            <w:r>
              <w:rPr>
                <w:rFonts w:cs="Times New Roman"/>
              </w:rPr>
              <w:t>19</w:t>
            </w:r>
          </w:p>
        </w:tc>
        <w:tc>
          <w:tcPr>
            <w:tcW w:w="918" w:type="dxa"/>
          </w:tcPr>
          <w:p w:rsidR="006D79F3" w:rsidRDefault="00067C92">
            <w:pPr>
              <w:pStyle w:val="CellColumn"/>
            </w:pPr>
            <w:r>
              <w:rPr>
                <w:rFonts w:cs="Times New Roman"/>
              </w:rPr>
              <w:t>19</w:t>
            </w:r>
          </w:p>
        </w:tc>
      </w:tr>
      <w:tr w:rsidR="006D79F3">
        <w:trPr>
          <w:jc w:val="center"/>
        </w:trPr>
        <w:tc>
          <w:tcPr>
            <w:tcW w:w="2245" w:type="dxa"/>
          </w:tcPr>
          <w:p w:rsidR="006D79F3" w:rsidRDefault="00067C92">
            <w:pPr>
              <w:pStyle w:val="CellColumn"/>
            </w:pPr>
            <w:r>
              <w:rPr>
                <w:rFonts w:cs="Times New Roman"/>
              </w:rPr>
              <w:t>Broj održanih edukacija</w:t>
            </w:r>
          </w:p>
        </w:tc>
        <w:tc>
          <w:tcPr>
            <w:tcW w:w="2245" w:type="dxa"/>
          </w:tcPr>
          <w:p w:rsidR="006D79F3" w:rsidRDefault="00067C92">
            <w:pPr>
              <w:pStyle w:val="CellColumn"/>
            </w:pPr>
            <w:r>
              <w:rPr>
                <w:rFonts w:cs="Times New Roman"/>
              </w:rPr>
              <w:t xml:space="preserve">Pohađanjem edukacija, </w:t>
            </w:r>
          </w:p>
          <w:p w:rsidR="006D79F3" w:rsidRDefault="00067C92">
            <w:pPr>
              <w:pStyle w:val="CellColumn"/>
            </w:pPr>
            <w:r>
              <w:rPr>
                <w:rFonts w:cs="Times New Roman"/>
              </w:rPr>
              <w:t xml:space="preserve">treninga i studijskih </w:t>
            </w:r>
          </w:p>
          <w:p w:rsidR="006D79F3" w:rsidRDefault="00067C92">
            <w:pPr>
              <w:pStyle w:val="CellColumn"/>
            </w:pPr>
            <w:r>
              <w:rPr>
                <w:rFonts w:cs="Times New Roman"/>
              </w:rPr>
              <w:t xml:space="preserve">posjeta djelatnici rade na </w:t>
            </w:r>
          </w:p>
          <w:p w:rsidR="006D79F3" w:rsidRDefault="00067C92">
            <w:pPr>
              <w:pStyle w:val="CellColumn"/>
            </w:pPr>
            <w:r>
              <w:rPr>
                <w:rFonts w:cs="Times New Roman"/>
              </w:rPr>
              <w:t xml:space="preserve">usavršavanju znanja i </w:t>
            </w:r>
          </w:p>
          <w:p w:rsidR="006D79F3" w:rsidRDefault="00067C92">
            <w:pPr>
              <w:pStyle w:val="CellColumn"/>
            </w:pPr>
            <w:r>
              <w:rPr>
                <w:rFonts w:cs="Times New Roman"/>
              </w:rPr>
              <w:t xml:space="preserve">vještina iz specifičnih </w:t>
            </w:r>
          </w:p>
          <w:p w:rsidR="006D79F3" w:rsidRDefault="00067C92">
            <w:pPr>
              <w:pStyle w:val="CellColumn"/>
            </w:pPr>
            <w:r>
              <w:rPr>
                <w:rFonts w:cs="Times New Roman"/>
              </w:rPr>
              <w:t>područja potrebnih za rad</w:t>
            </w:r>
          </w:p>
        </w:tc>
        <w:tc>
          <w:tcPr>
            <w:tcW w:w="918" w:type="dxa"/>
          </w:tcPr>
          <w:p w:rsidR="006D79F3" w:rsidRDefault="00067C92">
            <w:pPr>
              <w:pStyle w:val="CellColumn"/>
            </w:pPr>
            <w:r>
              <w:rPr>
                <w:rFonts w:cs="Times New Roman"/>
              </w:rPr>
              <w:t>broj</w:t>
            </w:r>
          </w:p>
        </w:tc>
        <w:tc>
          <w:tcPr>
            <w:tcW w:w="918" w:type="dxa"/>
          </w:tcPr>
          <w:p w:rsidR="006D79F3" w:rsidRDefault="00067C92">
            <w:pPr>
              <w:pStyle w:val="CellColumn"/>
            </w:pPr>
            <w:r>
              <w:rPr>
                <w:rFonts w:cs="Times New Roman"/>
              </w:rPr>
              <w:t>15</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30</w:t>
            </w:r>
          </w:p>
        </w:tc>
        <w:tc>
          <w:tcPr>
            <w:tcW w:w="918" w:type="dxa"/>
          </w:tcPr>
          <w:p w:rsidR="006D79F3" w:rsidRDefault="00067C92">
            <w:pPr>
              <w:pStyle w:val="CellColumn"/>
            </w:pPr>
            <w:r>
              <w:rPr>
                <w:rFonts w:cs="Times New Roman"/>
              </w:rPr>
              <w:t>30</w:t>
            </w:r>
          </w:p>
        </w:tc>
        <w:tc>
          <w:tcPr>
            <w:tcW w:w="918" w:type="dxa"/>
          </w:tcPr>
          <w:p w:rsidR="006D79F3" w:rsidRDefault="00067C92">
            <w:pPr>
              <w:pStyle w:val="CellColumn"/>
            </w:pPr>
            <w:r>
              <w:rPr>
                <w:rFonts w:cs="Times New Roman"/>
              </w:rPr>
              <w:t>30</w:t>
            </w:r>
          </w:p>
        </w:tc>
      </w:tr>
    </w:tbl>
    <w:p w:rsidR="006D79F3" w:rsidRDefault="006D79F3">
      <w:pPr>
        <w:jc w:val="left"/>
      </w:pPr>
    </w:p>
    <w:p w:rsidR="006D79F3" w:rsidRDefault="00067C92">
      <w:pPr>
        <w:pStyle w:val="Heading3"/>
      </w:pPr>
      <w:r>
        <w:rPr>
          <w:rFonts w:cs="Times New Roman"/>
        </w:rPr>
        <w:t>3004 RURALNI RAZVOJ</w:t>
      </w:r>
    </w:p>
    <w:tbl>
      <w:tblPr>
        <w:tblStyle w:val="StilTablice"/>
        <w:tblW w:w="10206" w:type="dxa"/>
        <w:jc w:val="center"/>
        <w:tblLook w:val="04A0" w:firstRow="1" w:lastRow="0" w:firstColumn="1" w:lastColumn="0" w:noHBand="0" w:noVBand="1"/>
      </w:tblPr>
      <w:tblGrid>
        <w:gridCol w:w="1465"/>
        <w:gridCol w:w="1555"/>
        <w:gridCol w:w="1554"/>
        <w:gridCol w:w="1554"/>
        <w:gridCol w:w="1554"/>
        <w:gridCol w:w="1554"/>
        <w:gridCol w:w="970"/>
      </w:tblGrid>
      <w:tr w:rsidR="006D79F3">
        <w:trPr>
          <w:jc w:val="center"/>
        </w:trPr>
        <w:tc>
          <w:tcPr>
            <w:tcW w:w="1530" w:type="dxa"/>
            <w:shd w:val="clear" w:color="auto" w:fill="B5C0D8"/>
          </w:tcPr>
          <w:p w:rsidR="006D79F3" w:rsidRDefault="006D79F3">
            <w:pPr>
              <w:pStyle w:val="CellHeader"/>
            </w:pP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3004-RURALNI RAZVOJ</w:t>
            </w:r>
          </w:p>
        </w:tc>
        <w:tc>
          <w:tcPr>
            <w:tcW w:w="1632" w:type="dxa"/>
          </w:tcPr>
          <w:p w:rsidR="006D79F3" w:rsidRDefault="00067C92">
            <w:pPr>
              <w:pStyle w:val="CellColumn"/>
            </w:pPr>
            <w:r>
              <w:rPr>
                <w:rFonts w:cs="Times New Roman"/>
              </w:rPr>
              <w:t>14.287.416</w:t>
            </w:r>
          </w:p>
        </w:tc>
        <w:tc>
          <w:tcPr>
            <w:tcW w:w="1632" w:type="dxa"/>
          </w:tcPr>
          <w:p w:rsidR="006D79F3" w:rsidRDefault="00067C92">
            <w:pPr>
              <w:pStyle w:val="CellColumn"/>
            </w:pPr>
            <w:r>
              <w:rPr>
                <w:rFonts w:cs="Times New Roman"/>
              </w:rPr>
              <w:t>15.171.920</w:t>
            </w:r>
          </w:p>
        </w:tc>
        <w:tc>
          <w:tcPr>
            <w:tcW w:w="1632" w:type="dxa"/>
          </w:tcPr>
          <w:p w:rsidR="006D79F3" w:rsidRDefault="00067C92">
            <w:pPr>
              <w:pStyle w:val="CellColumn"/>
            </w:pPr>
            <w:r>
              <w:rPr>
                <w:rFonts w:cs="Times New Roman"/>
              </w:rPr>
              <w:t>10.386.950</w:t>
            </w:r>
          </w:p>
        </w:tc>
        <w:tc>
          <w:tcPr>
            <w:tcW w:w="1632" w:type="dxa"/>
          </w:tcPr>
          <w:p w:rsidR="006D79F3" w:rsidRDefault="00067C92">
            <w:pPr>
              <w:pStyle w:val="CellColumn"/>
            </w:pPr>
            <w:r>
              <w:rPr>
                <w:rFonts w:cs="Times New Roman"/>
              </w:rPr>
              <w:t>10.386.950</w:t>
            </w:r>
          </w:p>
        </w:tc>
        <w:tc>
          <w:tcPr>
            <w:tcW w:w="1632" w:type="dxa"/>
          </w:tcPr>
          <w:p w:rsidR="006D79F3" w:rsidRDefault="00067C92">
            <w:pPr>
              <w:pStyle w:val="CellColumn"/>
            </w:pPr>
            <w:r>
              <w:rPr>
                <w:rFonts w:cs="Times New Roman"/>
              </w:rPr>
              <w:t>10.421.950</w:t>
            </w:r>
          </w:p>
        </w:tc>
        <w:tc>
          <w:tcPr>
            <w:tcW w:w="510" w:type="dxa"/>
          </w:tcPr>
          <w:p w:rsidR="006D79F3" w:rsidRDefault="00067C92">
            <w:pPr>
              <w:pStyle w:val="CellColumn"/>
            </w:pPr>
            <w:r>
              <w:rPr>
                <w:rFonts w:cs="Times New Roman"/>
              </w:rPr>
              <w:t>68,5</w:t>
            </w:r>
          </w:p>
        </w:tc>
      </w:tr>
    </w:tbl>
    <w:p w:rsidR="006D79F3" w:rsidRDefault="006D79F3">
      <w:pPr>
        <w:jc w:val="left"/>
      </w:pPr>
    </w:p>
    <w:p w:rsidR="006D79F3" w:rsidRDefault="00067C92">
      <w:pPr>
        <w:pStyle w:val="Normal5"/>
      </w:pPr>
      <w:r>
        <w:t xml:space="preserve">Zajednička poljoprivredna politike 2023.-2027. godine provodi se kroz dvije komponente odnosno dva stupa -  1. stup Zajedničke poljoprivredne politike (izravna plaćanja i mjere na poljoprivrednim tržištima) i 2. stup Zajedničke poljoprivredne politike (intervencije za ruralni razvoj). </w:t>
      </w:r>
    </w:p>
    <w:p w:rsidR="006D79F3" w:rsidRDefault="00067C92">
      <w:pPr>
        <w:pStyle w:val="Normal5"/>
      </w:pPr>
      <w:r>
        <w:t xml:space="preserve">Zajednička poljoprivredna politika 2023.-2027. godine naglasak stavlja na rezultate i djelotvornost mjera istovremeno odgovarajući na specifične potrebe svojih poljoprivrednika. Opći ciljevi Zajedničke poljoprivredne politike 2023.-2027. godine jesu sljedeći: </w:t>
      </w:r>
    </w:p>
    <w:p w:rsidR="006D79F3" w:rsidRDefault="00067C92">
      <w:pPr>
        <w:pStyle w:val="Normal5"/>
      </w:pPr>
      <w:r>
        <w:t>•</w:t>
      </w:r>
      <w:r>
        <w:tab/>
        <w:t xml:space="preserve">Poticanje pametnog, konkurentnog, otpornog i diverzificiranog sektora poljoprivrede kojim se osigurava dugoročna sigurnost opskrbe hranom, </w:t>
      </w:r>
    </w:p>
    <w:p w:rsidR="006D79F3" w:rsidRDefault="00067C92">
      <w:pPr>
        <w:pStyle w:val="Normal5"/>
      </w:pPr>
      <w:r>
        <w:t>•</w:t>
      </w:r>
      <w:r>
        <w:tab/>
        <w:t xml:space="preserve">Podupiranje i jačanje zaštite okoliša, uključujući bioraznolikost i djelovanja u području klime te doprinos postizanju ciljeva Unije u području okoliša i klime, uključujući njezine obveze u okviru Pariškog sporazuma, </w:t>
      </w:r>
    </w:p>
    <w:p w:rsidR="006D79F3" w:rsidRDefault="00067C92">
      <w:pPr>
        <w:pStyle w:val="Normal5"/>
      </w:pPr>
      <w:r>
        <w:t>•</w:t>
      </w:r>
      <w:r>
        <w:tab/>
        <w:t xml:space="preserve">Jačanje socioekonomske strukture ruralnih područja. </w:t>
      </w:r>
    </w:p>
    <w:p w:rsidR="006D79F3" w:rsidRDefault="00067C92">
      <w:pPr>
        <w:pStyle w:val="Normal5"/>
      </w:pPr>
      <w:r>
        <w:t xml:space="preserve">U okviru Zajedničke poljoprivredne politike 2023.-2027. godine određeno je devet (9) specifičnih ciljeva i jedan (1) horizontalni cilj kako slijedi: </w:t>
      </w:r>
    </w:p>
    <w:p w:rsidR="006D79F3" w:rsidRDefault="00067C92">
      <w:pPr>
        <w:pStyle w:val="Normal5"/>
      </w:pPr>
      <w:r>
        <w:t>1.</w:t>
      </w:r>
      <w:r>
        <w:tab/>
        <w:t xml:space="preserve">Održivi dohodak, </w:t>
      </w:r>
    </w:p>
    <w:p w:rsidR="006D79F3" w:rsidRDefault="00067C92">
      <w:pPr>
        <w:pStyle w:val="Normal5"/>
      </w:pPr>
      <w:r>
        <w:t>2.</w:t>
      </w:r>
      <w:r>
        <w:tab/>
        <w:t xml:space="preserve">Konkurentnost, </w:t>
      </w:r>
    </w:p>
    <w:p w:rsidR="006D79F3" w:rsidRDefault="00067C92">
      <w:pPr>
        <w:pStyle w:val="Normal5"/>
      </w:pPr>
      <w:r>
        <w:t>3.</w:t>
      </w:r>
      <w:r>
        <w:tab/>
        <w:t xml:space="preserve">Lanac opskrbe hranom, </w:t>
      </w:r>
    </w:p>
    <w:p w:rsidR="006D79F3" w:rsidRDefault="00067C92">
      <w:pPr>
        <w:pStyle w:val="Normal5"/>
      </w:pPr>
      <w:r>
        <w:t>4.</w:t>
      </w:r>
      <w:r>
        <w:tab/>
        <w:t xml:space="preserve">Klimatske promjene, </w:t>
      </w:r>
    </w:p>
    <w:p w:rsidR="006D79F3" w:rsidRDefault="00067C92">
      <w:pPr>
        <w:pStyle w:val="Normal5"/>
      </w:pPr>
      <w:r>
        <w:lastRenderedPageBreak/>
        <w:t>5.</w:t>
      </w:r>
      <w:r>
        <w:tab/>
        <w:t xml:space="preserve">Okoliš, </w:t>
      </w:r>
    </w:p>
    <w:p w:rsidR="006D79F3" w:rsidRDefault="00067C92">
      <w:pPr>
        <w:pStyle w:val="Normal5"/>
      </w:pPr>
      <w:r>
        <w:t>6.</w:t>
      </w:r>
      <w:r>
        <w:tab/>
        <w:t xml:space="preserve">Bioraznolikost, </w:t>
      </w:r>
    </w:p>
    <w:p w:rsidR="006D79F3" w:rsidRDefault="00067C92">
      <w:pPr>
        <w:pStyle w:val="Normal5"/>
      </w:pPr>
      <w:r>
        <w:t>7.</w:t>
      </w:r>
      <w:r>
        <w:tab/>
        <w:t xml:space="preserve">Generacijska obnova, </w:t>
      </w:r>
    </w:p>
    <w:p w:rsidR="006D79F3" w:rsidRDefault="00067C92">
      <w:pPr>
        <w:pStyle w:val="Normal5"/>
      </w:pPr>
      <w:r>
        <w:t>8.</w:t>
      </w:r>
      <w:r>
        <w:tab/>
        <w:t xml:space="preserve">Ruralna područja, </w:t>
      </w:r>
    </w:p>
    <w:p w:rsidR="006D79F3" w:rsidRDefault="00067C92">
      <w:pPr>
        <w:pStyle w:val="Normal5"/>
      </w:pPr>
      <w:r>
        <w:t>9.</w:t>
      </w:r>
      <w:r>
        <w:tab/>
        <w:t xml:space="preserve">Hrana i dobrobit životinja, </w:t>
      </w:r>
    </w:p>
    <w:p w:rsidR="006D79F3" w:rsidRDefault="00067C92">
      <w:pPr>
        <w:pStyle w:val="Normal5"/>
      </w:pPr>
      <w:r>
        <w:t>10.</w:t>
      </w:r>
      <w:r>
        <w:tab/>
        <w:t xml:space="preserve">Znanje i inovacije. </w:t>
      </w:r>
    </w:p>
    <w:p w:rsidR="006D79F3" w:rsidRDefault="00067C92">
      <w:pPr>
        <w:pStyle w:val="Normal5"/>
      </w:pPr>
      <w:r>
        <w:t xml:space="preserve"> </w:t>
      </w:r>
    </w:p>
    <w:p w:rsidR="006D79F3" w:rsidRDefault="00067C92">
      <w:pPr>
        <w:pStyle w:val="Normal5"/>
      </w:pPr>
      <w:r>
        <w:t xml:space="preserve">Zajednička poljoprivredna politike 2023.-2027. godine provodi se kroz dvije komponente odnosno dva stupa -  1. stup Zajedničke poljoprivredne politike (izravna plaćanja i mjere na poljoprivrednim tržištima) i 2. stup Zajedničke poljoprivredne politike (intervencije za ruralni razvoj).  </w:t>
      </w:r>
    </w:p>
    <w:p w:rsidR="006D79F3" w:rsidRDefault="00067C92">
      <w:pPr>
        <w:pStyle w:val="Normal5"/>
      </w:pPr>
      <w:r>
        <w:t xml:space="preserve">Politika ruralnog razvoja EU-a, kao drugi stup zajedničke poljoprivredne politike (ZPP), osmišljena je radi potpore ruralnim područjima EU-a te se njome rješava niz gospodarskih, okolišnih i socijalnih problema s kojima se ta područja suočavaju. Veća fleksibilnost (u usporedbi s prvim stupom) omogućuje regionalnim, nacionalnim i lokalnim vlastima da oblikuju svoje programe potpore ruralnom razvoju na temelju „programa mjera” za cijelu Uniju. Za razliku od prvog stupa, koji u potpunosti financira EU, programi u okviru drugog stupa sufinanciraju se iz fondova EU-a te regionalnih ili nacionalnih fondova. </w:t>
      </w:r>
    </w:p>
    <w:p w:rsidR="006D79F3" w:rsidRDefault="00067C92">
      <w:pPr>
        <w:pStyle w:val="Normal5"/>
      </w:pPr>
      <w:r>
        <w:t xml:space="preserve">Ruralni razvoj „drugi je stup” ZPP-a, kojim se dodatno učvršćuje „prvi stup” potpore dohotku i tržišnih mjera jačanjem socijalne, okolišne i gospodarske održivosti ruralnih područja. Tri dugoročna cilja u okviru ZPP-a kojima se doprinosi održivom razvoju ruralnih područja su: </w:t>
      </w:r>
    </w:p>
    <w:p w:rsidR="006D79F3" w:rsidRDefault="00067C92">
      <w:pPr>
        <w:pStyle w:val="Normal5"/>
      </w:pPr>
      <w:r>
        <w:t xml:space="preserve">poticanje konkurentnosti poljoprivrede i šumarstva; </w:t>
      </w:r>
    </w:p>
    <w:p w:rsidR="006D79F3" w:rsidRDefault="00067C92">
      <w:pPr>
        <w:pStyle w:val="Normal5"/>
      </w:pPr>
      <w:r>
        <w:t xml:space="preserve">osiguravanje održivog upravljanja prirodnim resursima i djelovanja u području klime; </w:t>
      </w:r>
    </w:p>
    <w:p w:rsidR="006D79F3" w:rsidRDefault="00067C92">
      <w:pPr>
        <w:pStyle w:val="Normal5"/>
      </w:pPr>
      <w:r>
        <w:t xml:space="preserve">postizanje uravnoteženog teritorijalnog razvoja ruralnih gospodarstava i zajednica, primjerice stvaranjem i očuvanjem radnih mjesta. </w:t>
      </w:r>
    </w:p>
    <w:p w:rsidR="006D79F3" w:rsidRDefault="00067C92">
      <w:pPr>
        <w:pStyle w:val="Normal5"/>
      </w:pPr>
      <w:r>
        <w:t>Mjere ruralnog razvoja uređene su člancima od 69. do 78. Uredbe o strateškim planovima u okviru ZPP-a.</w:t>
      </w:r>
    </w:p>
    <w:p w:rsidR="006D79F3" w:rsidRDefault="00067C92">
      <w:pPr>
        <w:pStyle w:val="Heading7"/>
      </w:pPr>
      <w:r>
        <w:t>Cilj 1. Unapređenje kvalitete života u ruralnim područjima</w:t>
      </w:r>
    </w:p>
    <w:p w:rsidR="006D79F3" w:rsidRDefault="00067C92">
      <w:pPr>
        <w:pStyle w:val="Heading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6D79F3">
        <w:trPr>
          <w:jc w:val="center"/>
        </w:trPr>
        <w:tc>
          <w:tcPr>
            <w:tcW w:w="2245" w:type="dxa"/>
            <w:shd w:val="clear" w:color="auto" w:fill="B5C0D8"/>
          </w:tcPr>
          <w:p w:rsidR="006D79F3" w:rsidRDefault="00067C92">
            <w:r>
              <w:t>Pokazatelj učinka</w:t>
            </w:r>
          </w:p>
        </w:tc>
        <w:tc>
          <w:tcPr>
            <w:tcW w:w="2245" w:type="dxa"/>
            <w:shd w:val="clear" w:color="auto" w:fill="B5C0D8"/>
          </w:tcPr>
          <w:p w:rsidR="006D79F3" w:rsidRDefault="00067C92">
            <w:pPr>
              <w:pStyle w:val="CellHeader"/>
            </w:pPr>
            <w:r>
              <w:rPr>
                <w:rFonts w:cs="Times New Roman"/>
              </w:rPr>
              <w:t>Definicija</w:t>
            </w:r>
          </w:p>
        </w:tc>
        <w:tc>
          <w:tcPr>
            <w:tcW w:w="918"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Postotak iskorištenosti sredstava iz mjera PRR-a SP ZPP 2023-2027</w:t>
            </w:r>
          </w:p>
        </w:tc>
        <w:tc>
          <w:tcPr>
            <w:tcW w:w="2245" w:type="dxa"/>
          </w:tcPr>
          <w:p w:rsidR="006D79F3" w:rsidRDefault="00067C92">
            <w:pPr>
              <w:pStyle w:val="CellColumn"/>
            </w:pPr>
            <w:r>
              <w:rPr>
                <w:rFonts w:cs="Times New Roman"/>
              </w:rPr>
              <w:t>Postotak isplaćene ukupne javne potpore u odnosu na alokaciju</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10,70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30</w:t>
            </w:r>
          </w:p>
        </w:tc>
        <w:tc>
          <w:tcPr>
            <w:tcW w:w="918" w:type="dxa"/>
          </w:tcPr>
          <w:p w:rsidR="006D79F3" w:rsidRDefault="00067C92">
            <w:pPr>
              <w:pStyle w:val="CellColumn"/>
            </w:pPr>
            <w:r>
              <w:rPr>
                <w:rFonts w:cs="Times New Roman"/>
              </w:rPr>
              <w:t>50</w:t>
            </w:r>
          </w:p>
        </w:tc>
        <w:tc>
          <w:tcPr>
            <w:tcW w:w="918" w:type="dxa"/>
          </w:tcPr>
          <w:p w:rsidR="006D79F3" w:rsidRDefault="00067C92">
            <w:pPr>
              <w:pStyle w:val="CellColumn"/>
            </w:pPr>
            <w:r>
              <w:rPr>
                <w:rFonts w:cs="Times New Roman"/>
              </w:rPr>
              <w:t>40</w:t>
            </w:r>
          </w:p>
        </w:tc>
      </w:tr>
    </w:tbl>
    <w:p w:rsidR="006D79F3" w:rsidRDefault="006D79F3">
      <w:pPr>
        <w:jc w:val="left"/>
      </w:pPr>
    </w:p>
    <w:p w:rsidR="006D79F3" w:rsidRDefault="00067C92">
      <w:pPr>
        <w:pStyle w:val="Heading4"/>
      </w:pPr>
      <w:r>
        <w:t>A841005 TEHNIČKA POMOĆ - PROGRAM RURALNOG RAZVOJA</w:t>
      </w:r>
    </w:p>
    <w:p w:rsidR="006D79F3" w:rsidRDefault="00067C92">
      <w:pPr>
        <w:pStyle w:val="Heading8"/>
        <w:jc w:val="left"/>
      </w:pPr>
      <w:r>
        <w:t>Zakonske i druge pravne osnove</w:t>
      </w:r>
    </w:p>
    <w:p w:rsidR="006D79F3" w:rsidRDefault="00067C92">
      <w:pPr>
        <w:pStyle w:val="Normal5"/>
      </w:pPr>
      <w:r>
        <w:t xml:space="preserve">- Sporazum o načinu provedbe mjere Tehnička pomoć unutar Programa ruralnog razvoja RH za razdoblje 2014.- </w:t>
      </w:r>
    </w:p>
    <w:p w:rsidR="006D79F3" w:rsidRDefault="00067C92">
      <w:pPr>
        <w:pStyle w:val="Normal5"/>
      </w:pPr>
      <w:r>
        <w:t xml:space="preserve">2020 (KLASA:320-01/15-01/179); </w:t>
      </w:r>
    </w:p>
    <w:p w:rsidR="006D79F3" w:rsidRDefault="00067C92">
      <w:pPr>
        <w:pStyle w:val="Normal5"/>
      </w:pPr>
      <w:r>
        <w:t>- Program ruralnog razvoja 2014.-2020.</w:t>
      </w:r>
    </w:p>
    <w:tbl>
      <w:tblPr>
        <w:tblStyle w:val="StilTablice"/>
        <w:tblW w:w="10206" w:type="dxa"/>
        <w:jc w:val="center"/>
        <w:tblLook w:val="04A0" w:firstRow="1" w:lastRow="0" w:firstColumn="1" w:lastColumn="0" w:noHBand="0" w:noVBand="1"/>
      </w:tblPr>
      <w:tblGrid>
        <w:gridCol w:w="1501"/>
        <w:gridCol w:w="1574"/>
        <w:gridCol w:w="1565"/>
        <w:gridCol w:w="1532"/>
        <w:gridCol w:w="1532"/>
        <w:gridCol w:w="1532"/>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lastRenderedPageBreak/>
              <w:t>A841005-TEHNIČKA POMOĆ - PROGRAM RURALNOG RAZVOJA</w:t>
            </w:r>
          </w:p>
        </w:tc>
        <w:tc>
          <w:tcPr>
            <w:tcW w:w="1632" w:type="dxa"/>
          </w:tcPr>
          <w:p w:rsidR="006D79F3" w:rsidRDefault="00067C92">
            <w:pPr>
              <w:pStyle w:val="CellColumn"/>
            </w:pPr>
            <w:r>
              <w:rPr>
                <w:rFonts w:cs="Times New Roman"/>
              </w:rPr>
              <w:t>14.287.416</w:t>
            </w:r>
          </w:p>
        </w:tc>
        <w:tc>
          <w:tcPr>
            <w:tcW w:w="1632" w:type="dxa"/>
          </w:tcPr>
          <w:p w:rsidR="006D79F3" w:rsidRDefault="00067C92">
            <w:pPr>
              <w:pStyle w:val="CellColumn"/>
            </w:pPr>
            <w:r>
              <w:rPr>
                <w:rFonts w:cs="Times New Roman"/>
              </w:rPr>
              <w:t>9.370.120</w:t>
            </w:r>
          </w:p>
        </w:tc>
        <w:tc>
          <w:tcPr>
            <w:tcW w:w="1632" w:type="dxa"/>
          </w:tcPr>
          <w:p w:rsidR="006D79F3" w:rsidRDefault="00067C92">
            <w:pPr>
              <w:pStyle w:val="CellColumn"/>
            </w:pPr>
            <w:r>
              <w:rPr>
                <w:rFonts w:cs="Times New Roman"/>
              </w:rPr>
              <w:t>00</w:t>
            </w:r>
          </w:p>
        </w:tc>
        <w:tc>
          <w:tcPr>
            <w:tcW w:w="1632" w:type="dxa"/>
          </w:tcPr>
          <w:p w:rsidR="006D79F3" w:rsidRDefault="00067C92">
            <w:pPr>
              <w:pStyle w:val="CellColumn"/>
            </w:pPr>
            <w:r>
              <w:rPr>
                <w:rFonts w:cs="Times New Roman"/>
              </w:rPr>
              <w:t>00</w:t>
            </w:r>
          </w:p>
        </w:tc>
        <w:tc>
          <w:tcPr>
            <w:tcW w:w="1632" w:type="dxa"/>
          </w:tcPr>
          <w:p w:rsidR="006D79F3" w:rsidRDefault="00067C92">
            <w:pPr>
              <w:pStyle w:val="CellColumn"/>
            </w:pPr>
            <w:r>
              <w:rPr>
                <w:rFonts w:cs="Times New Roman"/>
              </w:rPr>
              <w:t>00</w:t>
            </w:r>
          </w:p>
        </w:tc>
        <w:tc>
          <w:tcPr>
            <w:tcW w:w="510" w:type="dxa"/>
          </w:tcPr>
          <w:p w:rsidR="006D79F3" w:rsidRDefault="00067C92">
            <w:pPr>
              <w:pStyle w:val="CellColumn"/>
            </w:pPr>
            <w:r>
              <w:rPr>
                <w:rFonts w:cs="Times New Roman"/>
              </w:rPr>
              <w:t>0,0</w:t>
            </w:r>
          </w:p>
        </w:tc>
      </w:tr>
    </w:tbl>
    <w:p w:rsidR="006D79F3" w:rsidRDefault="006D79F3">
      <w:pPr>
        <w:jc w:val="left"/>
      </w:pPr>
    </w:p>
    <w:p w:rsidR="006D79F3" w:rsidRDefault="00067C92">
      <w:r>
        <w:t xml:space="preserve">Vremenski okvir za završetak korištenja TP PRR  bio je kraj lipnja 2025. godine, a zadnja isplata 31.12.2025.g. </w:t>
      </w:r>
    </w:p>
    <w:p w:rsidR="006D79F3" w:rsidRDefault="00067C92">
      <w:r>
        <w:t>U narednom razdoblju na ovoj aktivnosti nisu planirani niti prihodi, niti rashodi. Ova aktivnost nije ugašena iz evidencijskih razloga i izvještaja koje će biti potrebno dostavljati u narednom razdoblju.</w:t>
      </w:r>
    </w:p>
    <w:p w:rsidR="006D79F3" w:rsidRDefault="00067C92">
      <w:pPr>
        <w:pStyle w:val="Heading8"/>
        <w:jc w:val="left"/>
      </w:pPr>
      <w:r>
        <w:t>Pokazatelji rezultata</w:t>
      </w:r>
    </w:p>
    <w:tbl>
      <w:tblPr>
        <w:tblStyle w:val="StilTablice"/>
        <w:tblW w:w="10206" w:type="dxa"/>
        <w:jc w:val="center"/>
        <w:tblLook w:val="04A0" w:firstRow="1" w:lastRow="0" w:firstColumn="1" w:lastColumn="0" w:noHBand="0" w:noVBand="1"/>
      </w:tblPr>
      <w:tblGrid>
        <w:gridCol w:w="1893"/>
        <w:gridCol w:w="1899"/>
        <w:gridCol w:w="1838"/>
        <w:gridCol w:w="917"/>
        <w:gridCol w:w="908"/>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Postotak izvršenja planiranog PRR RH 2014-2020</w:t>
            </w:r>
          </w:p>
        </w:tc>
        <w:tc>
          <w:tcPr>
            <w:tcW w:w="2245" w:type="dxa"/>
          </w:tcPr>
          <w:p w:rsidR="006D79F3" w:rsidRDefault="00067C92">
            <w:pPr>
              <w:pStyle w:val="CellColumn"/>
            </w:pPr>
            <w:r>
              <w:rPr>
                <w:rFonts w:cs="Times New Roman"/>
              </w:rPr>
              <w:t>Iskorištena sredstva u odnosu na godišnji plan</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70,25</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0</w:t>
            </w:r>
          </w:p>
        </w:tc>
        <w:tc>
          <w:tcPr>
            <w:tcW w:w="918" w:type="dxa"/>
          </w:tcPr>
          <w:p w:rsidR="006D79F3" w:rsidRDefault="00067C92">
            <w:pPr>
              <w:pStyle w:val="CellColumn"/>
            </w:pPr>
            <w:r>
              <w:rPr>
                <w:rFonts w:cs="Times New Roman"/>
              </w:rPr>
              <w:t>0</w:t>
            </w:r>
          </w:p>
        </w:tc>
      </w:tr>
    </w:tbl>
    <w:p w:rsidR="006D79F3" w:rsidRDefault="006D79F3">
      <w:pPr>
        <w:jc w:val="left"/>
      </w:pPr>
    </w:p>
    <w:p w:rsidR="006D79F3" w:rsidRDefault="00067C92">
      <w:pPr>
        <w:pStyle w:val="Heading4"/>
      </w:pPr>
      <w:r>
        <w:t>A841011 TEHNIČKA POMOĆ - SP ZPP 2023.-2027.</w:t>
      </w:r>
    </w:p>
    <w:p w:rsidR="006D79F3" w:rsidRDefault="00067C92">
      <w:pPr>
        <w:pStyle w:val="Heading8"/>
        <w:jc w:val="left"/>
      </w:pPr>
      <w:r>
        <w:t>Zakonske i druge pravne osnove</w:t>
      </w:r>
    </w:p>
    <w:p w:rsidR="006D79F3" w:rsidRDefault="00067C92">
      <w:pPr>
        <w:pStyle w:val="Normal5"/>
      </w:pPr>
      <w:r>
        <w:t>Strateški plan Zajedičke poljoprivredne politike republike Hrvatske 2023-2030</w:t>
      </w:r>
    </w:p>
    <w:tbl>
      <w:tblPr>
        <w:tblStyle w:val="StilTablice"/>
        <w:tblW w:w="10206" w:type="dxa"/>
        <w:jc w:val="center"/>
        <w:tblLook w:val="04A0" w:firstRow="1" w:lastRow="0" w:firstColumn="1" w:lastColumn="0" w:noHBand="0" w:noVBand="1"/>
      </w:tblPr>
      <w:tblGrid>
        <w:gridCol w:w="1483"/>
        <w:gridCol w:w="1537"/>
        <w:gridCol w:w="1545"/>
        <w:gridCol w:w="1557"/>
        <w:gridCol w:w="1557"/>
        <w:gridCol w:w="1557"/>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A841011-TEHNIČKA POMOĆ - SP ZPP 2023.-2027.</w:t>
            </w:r>
          </w:p>
        </w:tc>
        <w:tc>
          <w:tcPr>
            <w:tcW w:w="1632" w:type="dxa"/>
          </w:tcPr>
          <w:p w:rsidR="006D79F3" w:rsidRDefault="00067C92">
            <w:pPr>
              <w:pStyle w:val="CellColumn"/>
            </w:pPr>
            <w:r>
              <w:rPr>
                <w:rFonts w:cs="Times New Roman"/>
              </w:rPr>
              <w:t>00</w:t>
            </w:r>
          </w:p>
        </w:tc>
        <w:tc>
          <w:tcPr>
            <w:tcW w:w="1632" w:type="dxa"/>
          </w:tcPr>
          <w:p w:rsidR="006D79F3" w:rsidRDefault="00067C92">
            <w:pPr>
              <w:pStyle w:val="CellColumn"/>
            </w:pPr>
            <w:r>
              <w:rPr>
                <w:rFonts w:cs="Times New Roman"/>
              </w:rPr>
              <w:t>5.801.800</w:t>
            </w:r>
          </w:p>
        </w:tc>
        <w:tc>
          <w:tcPr>
            <w:tcW w:w="1632" w:type="dxa"/>
          </w:tcPr>
          <w:p w:rsidR="006D79F3" w:rsidRDefault="00067C92">
            <w:pPr>
              <w:pStyle w:val="CellColumn"/>
            </w:pPr>
            <w:r>
              <w:rPr>
                <w:rFonts w:cs="Times New Roman"/>
              </w:rPr>
              <w:t>10.386.950</w:t>
            </w:r>
          </w:p>
        </w:tc>
        <w:tc>
          <w:tcPr>
            <w:tcW w:w="1632" w:type="dxa"/>
          </w:tcPr>
          <w:p w:rsidR="006D79F3" w:rsidRDefault="00067C92">
            <w:pPr>
              <w:pStyle w:val="CellColumn"/>
            </w:pPr>
            <w:r>
              <w:rPr>
                <w:rFonts w:cs="Times New Roman"/>
              </w:rPr>
              <w:t>10.386.950</w:t>
            </w:r>
          </w:p>
        </w:tc>
        <w:tc>
          <w:tcPr>
            <w:tcW w:w="1632" w:type="dxa"/>
          </w:tcPr>
          <w:p w:rsidR="006D79F3" w:rsidRDefault="00067C92">
            <w:pPr>
              <w:pStyle w:val="CellColumn"/>
            </w:pPr>
            <w:r>
              <w:rPr>
                <w:rFonts w:cs="Times New Roman"/>
              </w:rPr>
              <w:t>10.421.950</w:t>
            </w:r>
          </w:p>
        </w:tc>
        <w:tc>
          <w:tcPr>
            <w:tcW w:w="510" w:type="dxa"/>
          </w:tcPr>
          <w:p w:rsidR="006D79F3" w:rsidRDefault="00067C92">
            <w:pPr>
              <w:pStyle w:val="CellColumn"/>
            </w:pPr>
            <w:r>
              <w:rPr>
                <w:rFonts w:cs="Times New Roman"/>
              </w:rPr>
              <w:t>179,0</w:t>
            </w:r>
          </w:p>
        </w:tc>
      </w:tr>
    </w:tbl>
    <w:p w:rsidR="006D79F3" w:rsidRDefault="006D79F3">
      <w:pPr>
        <w:jc w:val="left"/>
      </w:pPr>
    </w:p>
    <w:p w:rsidR="006D79F3" w:rsidRDefault="00067C92">
      <w:r>
        <w:t xml:space="preserve">Cilj ispunjavanja planiranih aktivnosti provedbe Tehničke pomoći (TP), odnosno širokog raspona aktivnosti povezanih s intervencijama u području poljoprivrede i ruralnog razvoja, jest jačanje kapaciteta za provedbu SP ZPP-a, uključujući i rješavanje prigovora, unaprjeđenje funkcionalnosti elektroničkoginformacijskog sustava za mjerenje uspješnosti provedbe SP ZPP (podrazumijeva poboljšanje provedbe, praćenja, vrednovanja), informiranje i komunikacija, smanjenje administrativnog opterećenja za korisnike i sustav te uspostava i rad Nacionalne mreže Zajedničke poljoprivredne politike uključujući i aktivnosti prijenosa znanja i inovacija u poljoprivredi unutar sustava znanja i inovacija u poljoprivredi (AKIS). </w:t>
      </w:r>
    </w:p>
    <w:p w:rsidR="006D79F3" w:rsidRDefault="00067C92">
      <w:r>
        <w:t xml:space="preserve">Navedeni sustav provedbe SP ZPP-a omogućit će Agenciji za plaćanja u poljoprivredi, ribarstvu i ruralnom razvoju transparentno informiranje i dodjelu sredstava korisnicima, a sve u skladu s aktivnostima iz nacionalne Strategije sprečavanja korupcije za razdoblje od 2021. do 2030. čija je provedba u nadležnosti svih državnih tijela. </w:t>
      </w:r>
    </w:p>
    <w:p w:rsidR="006D79F3" w:rsidRDefault="00067C92">
      <w:r>
        <w:t xml:space="preserve">Predviđena su sredstva za aktivnosti TP u iznosu od maksimalno 4% ukupnog doprinosa iz EPFRR-a za  </w:t>
      </w:r>
    </w:p>
    <w:p w:rsidR="006D79F3" w:rsidRDefault="00067C92">
      <w:r>
        <w:t xml:space="preserve">strateški plan u okviru ZPP-a. </w:t>
      </w:r>
    </w:p>
    <w:p w:rsidR="006D79F3" w:rsidRDefault="00067C92">
      <w:r>
        <w:t xml:space="preserve">Od početka srpnja 2025.g. RH se odlučila na korištenje TP iz SP ZPP na 100% EAFRD sredstva, bez nacionalnog sufinanciranja. Prema odobrenom SP ZPP RH 2023.-2027., stopa (flat rate) za TP u SP ZPP RH iznosi 3,43% (50 mil. EUR) i obračunavat će se na svaku izjavu o rashodima koju RH podnese prema EK. Od 2025. godine Tehnička pomoć će se financirati prema stopi od 4%. </w:t>
      </w:r>
    </w:p>
    <w:p w:rsidR="006D79F3" w:rsidRDefault="00067C92">
      <w:r>
        <w:t xml:space="preserve">Prema trenutnim projekcijama tih 50 mil. EUR TP SP ZPP (100% EAFRD) za cijelo programsko razdoblje dostatno je samo za plaće korisnika AP /UT/Mreža te će biti nužno dio troškova koje se niz godina financirao iz TP plaćati iz drugih izvora Državnog proračuna. </w:t>
      </w:r>
    </w:p>
    <w:p w:rsidR="006D79F3" w:rsidRDefault="00067C92">
      <w:r>
        <w:t>U Agenciji su planirani  rashodi za zaposlene za 240 radnika.</w:t>
      </w:r>
    </w:p>
    <w:p w:rsidR="006D79F3" w:rsidRDefault="00067C92">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1888"/>
        <w:gridCol w:w="1903"/>
        <w:gridCol w:w="1839"/>
        <w:gridCol w:w="917"/>
        <w:gridCol w:w="908"/>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Postotak izvršenja planiranih SP ZPP 2023-2027</w:t>
            </w:r>
          </w:p>
        </w:tc>
        <w:tc>
          <w:tcPr>
            <w:tcW w:w="2245" w:type="dxa"/>
          </w:tcPr>
          <w:p w:rsidR="006D79F3" w:rsidRDefault="00067C92">
            <w:pPr>
              <w:pStyle w:val="CellColumn"/>
            </w:pPr>
            <w:r>
              <w:rPr>
                <w:rFonts w:cs="Times New Roman"/>
              </w:rPr>
              <w:t>Postotak izvršenja unutar dodijeljene kvote od 4% za APPRRR</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50</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r>
    </w:tbl>
    <w:p w:rsidR="006D79F3" w:rsidRDefault="006D79F3">
      <w:pPr>
        <w:jc w:val="left"/>
      </w:pPr>
    </w:p>
    <w:p w:rsidR="006D79F3" w:rsidRDefault="00067C92">
      <w:pPr>
        <w:pStyle w:val="Heading3"/>
      </w:pPr>
      <w:r>
        <w:rPr>
          <w:rFonts w:cs="Times New Roman"/>
        </w:rPr>
        <w:t>3005 RIBARSTVO</w:t>
      </w:r>
    </w:p>
    <w:tbl>
      <w:tblPr>
        <w:tblStyle w:val="StilTablice"/>
        <w:tblW w:w="10206" w:type="dxa"/>
        <w:jc w:val="center"/>
        <w:tblLook w:val="04A0" w:firstRow="1" w:lastRow="0" w:firstColumn="1" w:lastColumn="0" w:noHBand="0" w:noVBand="1"/>
      </w:tblPr>
      <w:tblGrid>
        <w:gridCol w:w="1503"/>
        <w:gridCol w:w="1553"/>
        <w:gridCol w:w="1545"/>
        <w:gridCol w:w="1545"/>
        <w:gridCol w:w="1545"/>
        <w:gridCol w:w="1545"/>
        <w:gridCol w:w="970"/>
      </w:tblGrid>
      <w:tr w:rsidR="006D79F3">
        <w:trPr>
          <w:jc w:val="center"/>
        </w:trPr>
        <w:tc>
          <w:tcPr>
            <w:tcW w:w="1530" w:type="dxa"/>
            <w:shd w:val="clear" w:color="auto" w:fill="B5C0D8"/>
          </w:tcPr>
          <w:p w:rsidR="006D79F3" w:rsidRDefault="006D79F3">
            <w:pPr>
              <w:pStyle w:val="CellHeader"/>
            </w:pP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3005-RIBARSTVO</w:t>
            </w:r>
          </w:p>
        </w:tc>
        <w:tc>
          <w:tcPr>
            <w:tcW w:w="1632" w:type="dxa"/>
          </w:tcPr>
          <w:p w:rsidR="006D79F3" w:rsidRDefault="00067C92">
            <w:pPr>
              <w:pStyle w:val="CellColumn"/>
            </w:pPr>
            <w:r>
              <w:rPr>
                <w:rFonts w:cs="Times New Roman"/>
              </w:rPr>
              <w:t>259.940</w:t>
            </w:r>
          </w:p>
        </w:tc>
        <w:tc>
          <w:tcPr>
            <w:tcW w:w="1632" w:type="dxa"/>
          </w:tcPr>
          <w:p w:rsidR="006D79F3" w:rsidRDefault="00067C92">
            <w:pPr>
              <w:pStyle w:val="CellColumn"/>
            </w:pPr>
            <w:r>
              <w:rPr>
                <w:rFonts w:cs="Times New Roman"/>
              </w:rPr>
              <w:t>781.094</w:t>
            </w:r>
          </w:p>
        </w:tc>
        <w:tc>
          <w:tcPr>
            <w:tcW w:w="1632" w:type="dxa"/>
          </w:tcPr>
          <w:p w:rsidR="006D79F3" w:rsidRDefault="00067C92">
            <w:pPr>
              <w:pStyle w:val="CellColumn"/>
            </w:pPr>
            <w:r>
              <w:rPr>
                <w:rFonts w:cs="Times New Roman"/>
              </w:rPr>
              <w:t>500.612</w:t>
            </w:r>
          </w:p>
        </w:tc>
        <w:tc>
          <w:tcPr>
            <w:tcW w:w="1632" w:type="dxa"/>
          </w:tcPr>
          <w:p w:rsidR="006D79F3" w:rsidRDefault="00067C92">
            <w:pPr>
              <w:pStyle w:val="CellColumn"/>
            </w:pPr>
            <w:r>
              <w:rPr>
                <w:rFonts w:cs="Times New Roman"/>
              </w:rPr>
              <w:t>500.612</w:t>
            </w:r>
          </w:p>
        </w:tc>
        <w:tc>
          <w:tcPr>
            <w:tcW w:w="1632" w:type="dxa"/>
          </w:tcPr>
          <w:p w:rsidR="006D79F3" w:rsidRDefault="00067C92">
            <w:pPr>
              <w:pStyle w:val="CellColumn"/>
            </w:pPr>
            <w:r>
              <w:rPr>
                <w:rFonts w:cs="Times New Roman"/>
              </w:rPr>
              <w:t>500.612</w:t>
            </w:r>
          </w:p>
        </w:tc>
        <w:tc>
          <w:tcPr>
            <w:tcW w:w="510" w:type="dxa"/>
          </w:tcPr>
          <w:p w:rsidR="006D79F3" w:rsidRDefault="00067C92">
            <w:pPr>
              <w:pStyle w:val="CellColumn"/>
            </w:pPr>
            <w:r>
              <w:rPr>
                <w:rFonts w:cs="Times New Roman"/>
              </w:rPr>
              <w:t>64,1</w:t>
            </w:r>
          </w:p>
        </w:tc>
      </w:tr>
    </w:tbl>
    <w:p w:rsidR="006D79F3" w:rsidRDefault="006D79F3">
      <w:pPr>
        <w:jc w:val="left"/>
      </w:pPr>
    </w:p>
    <w:p w:rsidR="006D79F3" w:rsidRDefault="00067C92">
      <w:pPr>
        <w:pStyle w:val="Normal5"/>
      </w:pPr>
      <w:r>
        <w:t xml:space="preserve">Opći cilj zajedničke ribarstvene politike postići je to da aktivnosti u ribarstvu i akvakulturi budu dugoročno okolišno održive, da se njima upravlja na način koji je u skladu s postizanjem gospodarskih i društvenih koristi te koristi za zapošljavanje, kao i da doprinose dostupnosti zaliha hrane. Kako bi se osiguralo održivo iskorištavanje ribolovnih resursa, u sklopu zajedničke ribarstvene politike mora se primjenjivati predostrožni pristup upravljanju ribarstvom. Usto, mora se uvesti pristup upravljanju ribarstvom temeljen na ekosustavu kako bi se osiguralo da se negativni utjecaji ribarskih aktivnosti na morski ekološki sustav svedu na najmanju moguću mjeru te kako akvakulturne i ribarske aktivnosti ne bi narušile morski okoliš. </w:t>
      </w:r>
    </w:p>
    <w:p w:rsidR="006D79F3" w:rsidRDefault="00067C92">
      <w:pPr>
        <w:pStyle w:val="Normal5"/>
      </w:pPr>
      <w:r>
        <w:t xml:space="preserve">Zajednička ribarstvena politika EU (ZRP) mora odgovoriti na sve kompleksnija pitanja ribarstva. Održivo gospodarenje ribljim resursima, odgovor na klimatske promjene bez ugrožavanja socioekonomskih prilika ribara uz regionalizaciju i pojednostavljenje implementacije zahtijeva strukturne reforme ribarstvene politike i sektora. Članstvom u EU Hrvatska je dobila priliku značajno povećati iznose potpore ulaganju u ribarstveni sektor uz određene prilagodbe zakonskih propisa i poštivanje ciljeva ZRP-a. Porast potpora i širi spektar mjera može pomoći podizanju konkurentnosti sektora, promicanju održivog ribarstva, poboljšanju socioekonomskih uvjeta za ribare i promicanju plavog rasta. </w:t>
      </w:r>
    </w:p>
    <w:p w:rsidR="006D79F3" w:rsidRDefault="00067C92">
      <w:pPr>
        <w:pStyle w:val="Normal5"/>
      </w:pPr>
      <w:r>
        <w:t xml:space="preserve">U skladu s člankom 39. Ugovora o funkcioniranju Europske unije, ciljevi ZPP-a jesu: </w:t>
      </w:r>
    </w:p>
    <w:p w:rsidR="006D79F3" w:rsidRDefault="00067C92">
      <w:pPr>
        <w:pStyle w:val="Normal5"/>
      </w:pPr>
      <w:r>
        <w:t xml:space="preserve">povećati poljoprivrednu produktivnost promicanjem tehničkog napretka i osiguranjem optimalne upotrebe čimbenika proizvodnje, osobito radne snage; </w:t>
      </w:r>
    </w:p>
    <w:p w:rsidR="006D79F3" w:rsidRDefault="00067C92">
      <w:pPr>
        <w:pStyle w:val="Normal5"/>
      </w:pPr>
      <w:r>
        <w:t xml:space="preserve">osigurati primjeren životni standard poljoprivrednika; </w:t>
      </w:r>
    </w:p>
    <w:p w:rsidR="006D79F3" w:rsidRDefault="00067C92">
      <w:pPr>
        <w:pStyle w:val="Normal5"/>
      </w:pPr>
      <w:r>
        <w:t xml:space="preserve">stabilizirati tržišta; </w:t>
      </w:r>
    </w:p>
    <w:p w:rsidR="006D79F3" w:rsidRDefault="00067C92">
      <w:pPr>
        <w:pStyle w:val="Normal5"/>
      </w:pPr>
      <w:r>
        <w:t xml:space="preserve">osigurati dostupnost opskrbe; </w:t>
      </w:r>
    </w:p>
    <w:p w:rsidR="006D79F3" w:rsidRDefault="00067C92">
      <w:pPr>
        <w:pStyle w:val="Normal5"/>
      </w:pPr>
      <w:r>
        <w:t xml:space="preserve">osigurati razumne cijene za potrošače. </w:t>
      </w:r>
    </w:p>
    <w:p w:rsidR="006D79F3" w:rsidRDefault="00067C92">
      <w:pPr>
        <w:pStyle w:val="Normal5"/>
      </w:pPr>
      <w:r>
        <w:t>Uz Europski fond za jamstva u poljoprivredi (EFJP) ZPP pomaže poljoprivrednicima u EU-u da osiguraju sigurnu opskrbu sigurnom, zdravom i povoljnom hranom dajući im potporu prihodu. Također financira mjere za potporu poljoprivrednim tržištima i njihovu stabilizaciju. Europski poljoprivredni fond za ruralni razvoj (EPFRR) financira programe ruralnog razvoja država članica.</w:t>
      </w:r>
    </w:p>
    <w:p w:rsidR="006D79F3" w:rsidRDefault="00067C92">
      <w:pPr>
        <w:pStyle w:val="Heading7"/>
      </w:pPr>
      <w:r>
        <w:t>Cilj 1. Poticanje održivog ribarstva te obnova i očuvanje vodenih bioloških resursa</w:t>
      </w:r>
    </w:p>
    <w:p w:rsidR="006D79F3" w:rsidRDefault="00067C92">
      <w:pPr>
        <w:pStyle w:val="Heading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6D79F3">
        <w:trPr>
          <w:jc w:val="center"/>
        </w:trPr>
        <w:tc>
          <w:tcPr>
            <w:tcW w:w="2245" w:type="dxa"/>
            <w:shd w:val="clear" w:color="auto" w:fill="B5C0D8"/>
          </w:tcPr>
          <w:p w:rsidR="006D79F3" w:rsidRDefault="00067C92">
            <w:r>
              <w:t>Pokazatelj učinka</w:t>
            </w:r>
          </w:p>
        </w:tc>
        <w:tc>
          <w:tcPr>
            <w:tcW w:w="2245" w:type="dxa"/>
            <w:shd w:val="clear" w:color="auto" w:fill="B5C0D8"/>
          </w:tcPr>
          <w:p w:rsidR="006D79F3" w:rsidRDefault="00067C92">
            <w:pPr>
              <w:pStyle w:val="CellHeader"/>
            </w:pPr>
            <w:r>
              <w:rPr>
                <w:rFonts w:cs="Times New Roman"/>
              </w:rPr>
              <w:t>Definicija</w:t>
            </w:r>
          </w:p>
        </w:tc>
        <w:tc>
          <w:tcPr>
            <w:tcW w:w="918"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lastRenderedPageBreak/>
              <w:t>Povećanje energetske učinkovitosti i smanjenje emisije CO2</w:t>
            </w:r>
          </w:p>
        </w:tc>
        <w:tc>
          <w:tcPr>
            <w:tcW w:w="2245" w:type="dxa"/>
          </w:tcPr>
          <w:p w:rsidR="006D79F3" w:rsidRDefault="00067C92">
            <w:pPr>
              <w:pStyle w:val="CellColumn"/>
            </w:pPr>
            <w:r>
              <w:rPr>
                <w:rFonts w:cs="Times New Roman"/>
              </w:rPr>
              <w:t>Povećanje enertgetske učinkovitosti i smanjenje CO2 kroz zamjenu ili modernizaciju motora ribarskih plovila</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0%</w:t>
            </w:r>
          </w:p>
        </w:tc>
        <w:tc>
          <w:tcPr>
            <w:tcW w:w="918" w:type="dxa"/>
          </w:tcPr>
          <w:p w:rsidR="006D79F3" w:rsidRDefault="00067C92">
            <w:pPr>
              <w:pStyle w:val="CellColumn"/>
            </w:pPr>
            <w:r>
              <w:rPr>
                <w:rFonts w:cs="Times New Roman"/>
              </w:rPr>
              <w:t>MP</w:t>
            </w:r>
          </w:p>
        </w:tc>
        <w:tc>
          <w:tcPr>
            <w:tcW w:w="918" w:type="dxa"/>
          </w:tcPr>
          <w:p w:rsidR="006D79F3" w:rsidRDefault="00067C92">
            <w:pPr>
              <w:pStyle w:val="CellColumn"/>
            </w:pPr>
            <w:r>
              <w:rPr>
                <w:rFonts w:cs="Times New Roman"/>
              </w:rPr>
              <w:t>20</w:t>
            </w:r>
          </w:p>
        </w:tc>
        <w:tc>
          <w:tcPr>
            <w:tcW w:w="918" w:type="dxa"/>
          </w:tcPr>
          <w:p w:rsidR="006D79F3" w:rsidRDefault="00067C92">
            <w:pPr>
              <w:pStyle w:val="CellColumn"/>
            </w:pPr>
            <w:r>
              <w:rPr>
                <w:rFonts w:cs="Times New Roman"/>
              </w:rPr>
              <w:t>30</w:t>
            </w:r>
          </w:p>
        </w:tc>
        <w:tc>
          <w:tcPr>
            <w:tcW w:w="918" w:type="dxa"/>
          </w:tcPr>
          <w:p w:rsidR="006D79F3" w:rsidRDefault="00067C92">
            <w:pPr>
              <w:pStyle w:val="CellColumn"/>
            </w:pPr>
            <w:r>
              <w:rPr>
                <w:rFonts w:cs="Times New Roman"/>
              </w:rPr>
              <w:t>40</w:t>
            </w:r>
          </w:p>
        </w:tc>
      </w:tr>
    </w:tbl>
    <w:p w:rsidR="006D79F3" w:rsidRDefault="006D79F3">
      <w:pPr>
        <w:jc w:val="left"/>
      </w:pPr>
    </w:p>
    <w:p w:rsidR="006D79F3" w:rsidRDefault="00067C92">
      <w:pPr>
        <w:pStyle w:val="Heading4"/>
      </w:pPr>
      <w:r>
        <w:t>A841006 TEHNIČKA POMOĆ - OPERATIVNI PROGRAM ZA POMORSTVO I RIBARSTVO</w:t>
      </w:r>
    </w:p>
    <w:p w:rsidR="006D79F3" w:rsidRDefault="00067C92">
      <w:pPr>
        <w:pStyle w:val="Heading8"/>
        <w:jc w:val="left"/>
      </w:pPr>
      <w:r>
        <w:t>Zakonske i druge pravne osnove</w:t>
      </w:r>
    </w:p>
    <w:p w:rsidR="006D79F3" w:rsidRDefault="00067C92">
      <w:pPr>
        <w:pStyle w:val="Normal5"/>
      </w:pPr>
      <w:r>
        <w:t>- Programa za ribarstvo i akvakulturu za programsko razdoblje 2021.-2027.</w:t>
      </w:r>
    </w:p>
    <w:tbl>
      <w:tblPr>
        <w:tblStyle w:val="StilTablice"/>
        <w:tblW w:w="10206" w:type="dxa"/>
        <w:jc w:val="center"/>
        <w:tblLook w:val="04A0" w:firstRow="1" w:lastRow="0" w:firstColumn="1" w:lastColumn="0" w:noHBand="0" w:noVBand="1"/>
      </w:tblPr>
      <w:tblGrid>
        <w:gridCol w:w="1515"/>
        <w:gridCol w:w="1565"/>
        <w:gridCol w:w="1539"/>
        <w:gridCol w:w="1539"/>
        <w:gridCol w:w="1539"/>
        <w:gridCol w:w="1539"/>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t>A841006-TEHNIČKA POMOĆ - OPERATIVNI PROGRAM ZA POMORSTVO I RIBARSTVO</w:t>
            </w:r>
          </w:p>
        </w:tc>
        <w:tc>
          <w:tcPr>
            <w:tcW w:w="1632" w:type="dxa"/>
          </w:tcPr>
          <w:p w:rsidR="006D79F3" w:rsidRDefault="00067C92">
            <w:pPr>
              <w:pStyle w:val="CellColumn"/>
            </w:pPr>
            <w:r>
              <w:rPr>
                <w:rFonts w:cs="Times New Roman"/>
              </w:rPr>
              <w:t>0</w:t>
            </w:r>
          </w:p>
        </w:tc>
        <w:tc>
          <w:tcPr>
            <w:tcW w:w="1632" w:type="dxa"/>
          </w:tcPr>
          <w:p w:rsidR="006D79F3" w:rsidRDefault="00067C92">
            <w:pPr>
              <w:pStyle w:val="CellColumn"/>
            </w:pPr>
            <w:r>
              <w:rPr>
                <w:rFonts w:cs="Times New Roman"/>
              </w:rPr>
              <w:t>0</w:t>
            </w:r>
          </w:p>
        </w:tc>
        <w:tc>
          <w:tcPr>
            <w:tcW w:w="1632" w:type="dxa"/>
          </w:tcPr>
          <w:p w:rsidR="006D79F3" w:rsidRDefault="00067C92">
            <w:pPr>
              <w:pStyle w:val="CellColumn"/>
            </w:pPr>
            <w:r>
              <w:rPr>
                <w:rFonts w:cs="Times New Roman"/>
              </w:rPr>
              <w:t>0</w:t>
            </w:r>
          </w:p>
        </w:tc>
        <w:tc>
          <w:tcPr>
            <w:tcW w:w="1632" w:type="dxa"/>
          </w:tcPr>
          <w:p w:rsidR="006D79F3" w:rsidRDefault="00067C92">
            <w:pPr>
              <w:pStyle w:val="CellColumn"/>
            </w:pPr>
            <w:r>
              <w:rPr>
                <w:rFonts w:cs="Times New Roman"/>
              </w:rPr>
              <w:t>0</w:t>
            </w:r>
          </w:p>
        </w:tc>
        <w:tc>
          <w:tcPr>
            <w:tcW w:w="1632" w:type="dxa"/>
          </w:tcPr>
          <w:p w:rsidR="006D79F3" w:rsidRDefault="00067C92">
            <w:pPr>
              <w:pStyle w:val="CellColumn"/>
            </w:pPr>
            <w:r>
              <w:rPr>
                <w:rFonts w:cs="Times New Roman"/>
              </w:rPr>
              <w:t>0</w:t>
            </w:r>
          </w:p>
        </w:tc>
        <w:tc>
          <w:tcPr>
            <w:tcW w:w="510" w:type="dxa"/>
          </w:tcPr>
          <w:p w:rsidR="006D79F3" w:rsidRDefault="00067C92">
            <w:pPr>
              <w:pStyle w:val="CellColumn"/>
            </w:pPr>
            <w:r>
              <w:rPr>
                <w:rFonts w:cs="Times New Roman"/>
              </w:rPr>
              <w:t>0</w:t>
            </w:r>
          </w:p>
        </w:tc>
      </w:tr>
    </w:tbl>
    <w:p w:rsidR="006D79F3" w:rsidRDefault="006D79F3">
      <w:pPr>
        <w:jc w:val="left"/>
      </w:pPr>
    </w:p>
    <w:p w:rsidR="006D79F3" w:rsidRDefault="00067C92">
      <w:r>
        <w:t xml:space="preserve">Sve mjere potrebno je isplatiti do 31.12.2025.g. nakon čega će se ova aktivnost zatvoriti. </w:t>
      </w:r>
    </w:p>
    <w:p w:rsidR="006D79F3" w:rsidRDefault="00067C92">
      <w:r>
        <w:t>Aktivnost zadržana u evidenciji zbog izvještavanja. Nema planiranih prihoda i rashoda u narednom razdoblju.</w:t>
      </w:r>
    </w:p>
    <w:p w:rsidR="006D79F3" w:rsidRDefault="00067C92">
      <w:pPr>
        <w:pStyle w:val="Heading8"/>
        <w:jc w:val="left"/>
      </w:pPr>
      <w:r>
        <w:t>Pokazatelji rezultata</w:t>
      </w:r>
    </w:p>
    <w:tbl>
      <w:tblPr>
        <w:tblStyle w:val="StilTablice"/>
        <w:tblW w:w="10206" w:type="dxa"/>
        <w:jc w:val="center"/>
        <w:tblLook w:val="04A0" w:firstRow="1" w:lastRow="0" w:firstColumn="1" w:lastColumn="0" w:noHBand="0" w:noVBand="1"/>
      </w:tblPr>
      <w:tblGrid>
        <w:gridCol w:w="1905"/>
        <w:gridCol w:w="1923"/>
        <w:gridCol w:w="1803"/>
        <w:gridCol w:w="917"/>
        <w:gridCol w:w="907"/>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Isplata Zahtjeva iz Operativnog programa za pomorstvo i ribarstvo</w:t>
            </w:r>
          </w:p>
        </w:tc>
        <w:tc>
          <w:tcPr>
            <w:tcW w:w="2245" w:type="dxa"/>
          </w:tcPr>
          <w:p w:rsidR="006D79F3" w:rsidRDefault="00067C92">
            <w:pPr>
              <w:pStyle w:val="CellColumn"/>
            </w:pPr>
            <w:r>
              <w:rPr>
                <w:rFonts w:cs="Times New Roman"/>
              </w:rPr>
              <w:t>Isplata naknadno odbrenih zahtjeva iz prethodnog programskog razdoblja</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100</w:t>
            </w:r>
          </w:p>
        </w:tc>
        <w:tc>
          <w:tcPr>
            <w:tcW w:w="918" w:type="dxa"/>
          </w:tcPr>
          <w:p w:rsidR="006D79F3" w:rsidRDefault="006D79F3">
            <w:pPr>
              <w:jc w:val="left"/>
            </w:pPr>
          </w:p>
        </w:tc>
        <w:tc>
          <w:tcPr>
            <w:tcW w:w="918" w:type="dxa"/>
          </w:tcPr>
          <w:p w:rsidR="006D79F3" w:rsidRDefault="006D79F3">
            <w:pPr>
              <w:jc w:val="left"/>
            </w:pPr>
          </w:p>
        </w:tc>
      </w:tr>
    </w:tbl>
    <w:p w:rsidR="006D79F3" w:rsidRDefault="006D79F3">
      <w:pPr>
        <w:jc w:val="left"/>
      </w:pPr>
    </w:p>
    <w:p w:rsidR="006D79F3" w:rsidRDefault="00067C92">
      <w:pPr>
        <w:pStyle w:val="Heading4"/>
      </w:pPr>
      <w:r>
        <w:t>A841010 TEHNIČKA POMOĆ - PROGRAM ZA RIBARSTVO I AKVAKULTURU RH ZA 2021.-2027.</w:t>
      </w:r>
    </w:p>
    <w:p w:rsidR="006D79F3" w:rsidRDefault="00067C92">
      <w:pPr>
        <w:pStyle w:val="Heading8"/>
        <w:jc w:val="left"/>
      </w:pPr>
      <w:r>
        <w:t>Zakonske i druge pravne osnove</w:t>
      </w:r>
    </w:p>
    <w:p w:rsidR="006D79F3" w:rsidRDefault="00067C92">
      <w:pPr>
        <w:pStyle w:val="Normal5"/>
      </w:pPr>
      <w:r>
        <w:t xml:space="preserve">- Program za ribarstvo i akvakulturu za programsko razdoblje 2021.-2027.  </w:t>
      </w:r>
    </w:p>
    <w:p w:rsidR="006D79F3" w:rsidRDefault="00067C92">
      <w:pPr>
        <w:pStyle w:val="Normal5"/>
      </w:pPr>
      <w:r>
        <w:t xml:space="preserve">- Uredba (EU) br. 2021/1060 Europskog parlamenta i Vijeća od 24. lipnja 2021.  </w:t>
      </w:r>
    </w:p>
    <w:p w:rsidR="006D79F3" w:rsidRDefault="00067C92">
      <w:pPr>
        <w:pStyle w:val="Normal5"/>
      </w:pPr>
      <w:r>
        <w:t xml:space="preserve">- Uredba (EU) br. 2021/1060 </w:t>
      </w:r>
    </w:p>
    <w:p w:rsidR="006D79F3" w:rsidRDefault="00067C92">
      <w:pPr>
        <w:pStyle w:val="Normal5"/>
      </w:pPr>
      <w:r>
        <w:t xml:space="preserve">- - Uredba (EU) br. 2021/1139 </w:t>
      </w:r>
    </w:p>
    <w:p w:rsidR="006D79F3" w:rsidRDefault="00067C92">
      <w:pPr>
        <w:pStyle w:val="Normal5"/>
      </w:pPr>
      <w:r>
        <w:t>Zakon o institucionalnom okviru za korištenje fondova Europske unije u Republici Hrvatskoj</w:t>
      </w:r>
    </w:p>
    <w:tbl>
      <w:tblPr>
        <w:tblStyle w:val="StilTablice"/>
        <w:tblW w:w="10206" w:type="dxa"/>
        <w:jc w:val="center"/>
        <w:tblLook w:val="04A0" w:firstRow="1" w:lastRow="0" w:firstColumn="1" w:lastColumn="0" w:noHBand="0" w:noVBand="1"/>
      </w:tblPr>
      <w:tblGrid>
        <w:gridCol w:w="1649"/>
        <w:gridCol w:w="1527"/>
        <w:gridCol w:w="1515"/>
        <w:gridCol w:w="1515"/>
        <w:gridCol w:w="1515"/>
        <w:gridCol w:w="1515"/>
        <w:gridCol w:w="970"/>
      </w:tblGrid>
      <w:tr w:rsidR="006D79F3">
        <w:trPr>
          <w:jc w:val="center"/>
        </w:trPr>
        <w:tc>
          <w:tcPr>
            <w:tcW w:w="1530" w:type="dxa"/>
            <w:shd w:val="clear" w:color="auto" w:fill="B5C0D8"/>
          </w:tcPr>
          <w:p w:rsidR="006D79F3" w:rsidRDefault="00067C92">
            <w:pPr>
              <w:pStyle w:val="CellHeader"/>
            </w:pPr>
            <w:r>
              <w:rPr>
                <w:rFonts w:cs="Times New Roman"/>
              </w:rPr>
              <w:t>Naziv aktivnosti</w:t>
            </w:r>
          </w:p>
        </w:tc>
        <w:tc>
          <w:tcPr>
            <w:tcW w:w="1632" w:type="dxa"/>
            <w:shd w:val="clear" w:color="auto" w:fill="B5C0D8"/>
          </w:tcPr>
          <w:p w:rsidR="006D79F3" w:rsidRDefault="00067C92">
            <w:pPr>
              <w:pStyle w:val="CellHeader"/>
            </w:pPr>
            <w:r>
              <w:rPr>
                <w:rFonts w:cs="Times New Roman"/>
              </w:rPr>
              <w:t>Izvršenje 2024. (eur)</w:t>
            </w:r>
          </w:p>
        </w:tc>
        <w:tc>
          <w:tcPr>
            <w:tcW w:w="1632" w:type="dxa"/>
            <w:shd w:val="clear" w:color="auto" w:fill="B5C0D8"/>
          </w:tcPr>
          <w:p w:rsidR="006D79F3" w:rsidRDefault="00067C92">
            <w:pPr>
              <w:pStyle w:val="CellHeader"/>
            </w:pPr>
            <w:r>
              <w:rPr>
                <w:rFonts w:cs="Times New Roman"/>
              </w:rPr>
              <w:t>Plan 2025. (eur)</w:t>
            </w:r>
          </w:p>
        </w:tc>
        <w:tc>
          <w:tcPr>
            <w:tcW w:w="1632" w:type="dxa"/>
            <w:shd w:val="clear" w:color="auto" w:fill="B5C0D8"/>
          </w:tcPr>
          <w:p w:rsidR="006D79F3" w:rsidRDefault="00067C92">
            <w:pPr>
              <w:pStyle w:val="CellHeader"/>
            </w:pPr>
            <w:r>
              <w:rPr>
                <w:rFonts w:cs="Times New Roman"/>
              </w:rPr>
              <w:t>Plan 2026. (eur)</w:t>
            </w:r>
          </w:p>
        </w:tc>
        <w:tc>
          <w:tcPr>
            <w:tcW w:w="1632" w:type="dxa"/>
            <w:shd w:val="clear" w:color="auto" w:fill="B5C0D8"/>
          </w:tcPr>
          <w:p w:rsidR="006D79F3" w:rsidRDefault="00067C92">
            <w:pPr>
              <w:pStyle w:val="CellHeader"/>
            </w:pPr>
            <w:r>
              <w:rPr>
                <w:rFonts w:cs="Times New Roman"/>
              </w:rPr>
              <w:t>Plan 2027. (eur)</w:t>
            </w:r>
          </w:p>
        </w:tc>
        <w:tc>
          <w:tcPr>
            <w:tcW w:w="1632" w:type="dxa"/>
            <w:shd w:val="clear" w:color="auto" w:fill="B5C0D8"/>
          </w:tcPr>
          <w:p w:rsidR="006D79F3" w:rsidRDefault="00067C92">
            <w:pPr>
              <w:pStyle w:val="CellHeader"/>
            </w:pPr>
            <w:r>
              <w:rPr>
                <w:rFonts w:cs="Times New Roman"/>
              </w:rPr>
              <w:t>Plan 2028. (eur)</w:t>
            </w:r>
          </w:p>
        </w:tc>
        <w:tc>
          <w:tcPr>
            <w:tcW w:w="510" w:type="dxa"/>
            <w:shd w:val="clear" w:color="auto" w:fill="B5C0D8"/>
          </w:tcPr>
          <w:p w:rsidR="006D79F3" w:rsidRDefault="00067C92">
            <w:pPr>
              <w:pStyle w:val="CellHeader"/>
            </w:pPr>
            <w:r>
              <w:rPr>
                <w:rFonts w:cs="Times New Roman"/>
              </w:rPr>
              <w:t>Indeks 2026/2025</w:t>
            </w:r>
          </w:p>
        </w:tc>
      </w:tr>
      <w:tr w:rsidR="006D79F3">
        <w:trPr>
          <w:jc w:val="center"/>
        </w:trPr>
        <w:tc>
          <w:tcPr>
            <w:tcW w:w="1530" w:type="dxa"/>
          </w:tcPr>
          <w:p w:rsidR="006D79F3" w:rsidRDefault="00067C92">
            <w:pPr>
              <w:pStyle w:val="CellColumn"/>
            </w:pPr>
            <w:r>
              <w:rPr>
                <w:rFonts w:cs="Times New Roman"/>
              </w:rPr>
              <w:lastRenderedPageBreak/>
              <w:t>A841010-TEHNIČKA POMOĆ - PROGRAM ZA RIBARSTVO I AKVAKULTURU RH ZA 2021.-2027.</w:t>
            </w:r>
          </w:p>
        </w:tc>
        <w:tc>
          <w:tcPr>
            <w:tcW w:w="1632" w:type="dxa"/>
          </w:tcPr>
          <w:p w:rsidR="006D79F3" w:rsidRDefault="00067C92">
            <w:pPr>
              <w:pStyle w:val="CellColumn"/>
            </w:pPr>
            <w:r>
              <w:rPr>
                <w:rFonts w:cs="Times New Roman"/>
              </w:rPr>
              <w:t>259.940</w:t>
            </w:r>
          </w:p>
        </w:tc>
        <w:tc>
          <w:tcPr>
            <w:tcW w:w="1632" w:type="dxa"/>
          </w:tcPr>
          <w:p w:rsidR="006D79F3" w:rsidRDefault="00067C92">
            <w:pPr>
              <w:pStyle w:val="CellColumn"/>
            </w:pPr>
            <w:r>
              <w:rPr>
                <w:rFonts w:cs="Times New Roman"/>
              </w:rPr>
              <w:t>781.094</w:t>
            </w:r>
          </w:p>
        </w:tc>
        <w:tc>
          <w:tcPr>
            <w:tcW w:w="1632" w:type="dxa"/>
          </w:tcPr>
          <w:p w:rsidR="006D79F3" w:rsidRDefault="00067C92">
            <w:pPr>
              <w:pStyle w:val="CellColumn"/>
            </w:pPr>
            <w:r>
              <w:rPr>
                <w:rFonts w:cs="Times New Roman"/>
              </w:rPr>
              <w:t>500.612</w:t>
            </w:r>
          </w:p>
        </w:tc>
        <w:tc>
          <w:tcPr>
            <w:tcW w:w="1632" w:type="dxa"/>
          </w:tcPr>
          <w:p w:rsidR="006D79F3" w:rsidRDefault="00067C92">
            <w:pPr>
              <w:pStyle w:val="CellColumn"/>
            </w:pPr>
            <w:r>
              <w:rPr>
                <w:rFonts w:cs="Times New Roman"/>
              </w:rPr>
              <w:t>500.612</w:t>
            </w:r>
          </w:p>
        </w:tc>
        <w:tc>
          <w:tcPr>
            <w:tcW w:w="1632" w:type="dxa"/>
          </w:tcPr>
          <w:p w:rsidR="006D79F3" w:rsidRDefault="00067C92">
            <w:pPr>
              <w:pStyle w:val="CellColumn"/>
            </w:pPr>
            <w:r>
              <w:rPr>
                <w:rFonts w:cs="Times New Roman"/>
              </w:rPr>
              <w:t>500.612</w:t>
            </w:r>
          </w:p>
        </w:tc>
        <w:tc>
          <w:tcPr>
            <w:tcW w:w="510" w:type="dxa"/>
          </w:tcPr>
          <w:p w:rsidR="006D79F3" w:rsidRDefault="00067C92">
            <w:pPr>
              <w:pStyle w:val="CellColumn"/>
            </w:pPr>
            <w:r>
              <w:rPr>
                <w:rFonts w:cs="Times New Roman"/>
              </w:rPr>
              <w:t>64,1</w:t>
            </w:r>
          </w:p>
        </w:tc>
      </w:tr>
    </w:tbl>
    <w:p w:rsidR="006D79F3" w:rsidRDefault="006D79F3">
      <w:pPr>
        <w:jc w:val="left"/>
      </w:pPr>
    </w:p>
    <w:p w:rsidR="006D79F3" w:rsidRDefault="00067C92">
      <w:r>
        <w:t xml:space="preserve">Na temelju Zakona o institucionalnom okviru za korištenje fondova Europske unije u Republici Hrvatskoj, Vlada Republike Hrvatske je donijela Uredbu o tijelima u Sustavu upravljanja i kontrole provedbe Programa za ribarstvo i akvakulturu Republike Hrvatske za programsko razdoblje 2021.–2027. kojom je Ministarstvo poljoprivrede određeno kao Uptavljačko tijelo, a Agencija z plaćanja u poljoprivredi, ribarstvu i ruralnom razvoju kao jedno od posredničkih tijela. </w:t>
      </w:r>
    </w:p>
    <w:p w:rsidR="006D79F3" w:rsidRDefault="00067C92">
      <w:r>
        <w:t xml:space="preserve">Služba za analize u ribarstvu provodi jednu od osnovnih delegiranih funkcija, a to su tehničke i ekonomske analize u okviru operacija za koje su takve analize predviđene. Obavlja stručne poslove vezane za organizaciju, koordinaciju i planiranje poslova ekonomskih i tehničkih analiza u ribarstvu; obavlja analize financijskih izvještaja u svrhu ocjene boniteta podnositelja zahtjeva za mjere EFPRA-a, stručnih mišljenja i ocjene poslovnih planova/investicijskih studija za zaprimljene projekte; bavi se izradom obrazaca poslovnih planova/investicijskih studija, metodologije procjene i internih procedura za provođenje mjera EFPRA-a u okvirima svoje nadležnosti; obavlja stručne poslove vezane za praćenje cijena izgradnje i opremanja objekata na tržištu u svrhu procjene opravdanosti troškova ulaganja korisnika mjera EFPRA-a; organizira prikupljanje i razmjenu podataka s tijelima državne uprave i stručnim ustanovama i podataka od dobavljača i proizvođača različite opreme na domaćem i inozemnom tržištu; osmišljava, unaprjeđuje i sudjeluje u provedbi transparentnog postupka prikupljanja ponuda korisnika potpora; bavi se i ocjenjivanjem tehnoloških i tehničkih/ekonomskih elemenata ulaganja korisnika sredstava potpore.  </w:t>
      </w:r>
    </w:p>
    <w:p w:rsidR="006D79F3" w:rsidRDefault="00067C92">
      <w:r>
        <w:t xml:space="preserve">Sektor za financijsko i računovodstveno upravljanje potporama u PT-APPRRR odgovoran je za provedbu funkcije plaćanja, računovodstva i upravljanja dugovima.  </w:t>
      </w:r>
    </w:p>
    <w:p w:rsidR="006D79F3" w:rsidRDefault="00067C92">
      <w:r>
        <w:t>Sukladno programu za ribarstvo i akvakulturu u okvitu tehničke pomoći u novom programskom razdoblju 70 % sredstava javne potpore financirati će se iz sredstava Unije, a 30% iz nacionalnog proračuna.</w:t>
      </w:r>
    </w:p>
    <w:p w:rsidR="006D79F3" w:rsidRDefault="00067C92">
      <w:pPr>
        <w:pStyle w:val="Heading8"/>
        <w:jc w:val="left"/>
      </w:pPr>
      <w:r>
        <w:t>Pokazatelji rezultata</w:t>
      </w:r>
    </w:p>
    <w:tbl>
      <w:tblPr>
        <w:tblStyle w:val="StilTablice"/>
        <w:tblW w:w="10206" w:type="dxa"/>
        <w:jc w:val="center"/>
        <w:tblLook w:val="04A0" w:firstRow="1" w:lastRow="0" w:firstColumn="1" w:lastColumn="0" w:noHBand="0" w:noVBand="1"/>
      </w:tblPr>
      <w:tblGrid>
        <w:gridCol w:w="1909"/>
        <w:gridCol w:w="1908"/>
        <w:gridCol w:w="1814"/>
        <w:gridCol w:w="917"/>
        <w:gridCol w:w="907"/>
        <w:gridCol w:w="917"/>
        <w:gridCol w:w="917"/>
        <w:gridCol w:w="917"/>
      </w:tblGrid>
      <w:tr w:rsidR="006D79F3">
        <w:trPr>
          <w:jc w:val="center"/>
        </w:trPr>
        <w:tc>
          <w:tcPr>
            <w:tcW w:w="2245" w:type="dxa"/>
            <w:shd w:val="clear" w:color="auto" w:fill="B5C0D8"/>
          </w:tcPr>
          <w:p w:rsidR="006D79F3" w:rsidRDefault="00067C92">
            <w:r>
              <w:t>Pokazatelj rezultata</w:t>
            </w:r>
          </w:p>
        </w:tc>
        <w:tc>
          <w:tcPr>
            <w:tcW w:w="2245" w:type="dxa"/>
            <w:shd w:val="clear" w:color="auto" w:fill="B5C0D8"/>
          </w:tcPr>
          <w:p w:rsidR="006D79F3" w:rsidRDefault="00067C92">
            <w:pPr>
              <w:pStyle w:val="CellHeader"/>
            </w:pPr>
            <w:r>
              <w:rPr>
                <w:rFonts w:cs="Times New Roman"/>
              </w:rPr>
              <w:t>Definicija</w:t>
            </w:r>
          </w:p>
        </w:tc>
        <w:tc>
          <w:tcPr>
            <w:tcW w:w="2245" w:type="dxa"/>
            <w:shd w:val="clear" w:color="auto" w:fill="B5C0D8"/>
          </w:tcPr>
          <w:p w:rsidR="006D79F3" w:rsidRDefault="00067C92">
            <w:pPr>
              <w:pStyle w:val="CellHeader"/>
            </w:pPr>
            <w:r>
              <w:rPr>
                <w:rFonts w:cs="Times New Roman"/>
              </w:rPr>
              <w:t>Jedinica</w:t>
            </w:r>
          </w:p>
        </w:tc>
        <w:tc>
          <w:tcPr>
            <w:tcW w:w="918" w:type="dxa"/>
            <w:shd w:val="clear" w:color="auto" w:fill="B5C0D8"/>
          </w:tcPr>
          <w:p w:rsidR="006D79F3" w:rsidRDefault="00067C92">
            <w:pPr>
              <w:pStyle w:val="CellHeader"/>
            </w:pPr>
            <w:r>
              <w:rPr>
                <w:rFonts w:cs="Times New Roman"/>
              </w:rPr>
              <w:t>Polazna vrijednost</w:t>
            </w:r>
          </w:p>
        </w:tc>
        <w:tc>
          <w:tcPr>
            <w:tcW w:w="918" w:type="dxa"/>
            <w:shd w:val="clear" w:color="auto" w:fill="B5C0D8"/>
          </w:tcPr>
          <w:p w:rsidR="006D79F3" w:rsidRDefault="00067C92">
            <w:pPr>
              <w:pStyle w:val="CellHeader"/>
            </w:pPr>
            <w:r>
              <w:rPr>
                <w:rFonts w:cs="Times New Roman"/>
              </w:rPr>
              <w:t>Izvor podataka</w:t>
            </w:r>
          </w:p>
        </w:tc>
        <w:tc>
          <w:tcPr>
            <w:tcW w:w="918" w:type="dxa"/>
            <w:shd w:val="clear" w:color="auto" w:fill="B5C0D8"/>
          </w:tcPr>
          <w:p w:rsidR="006D79F3" w:rsidRDefault="00067C92">
            <w:pPr>
              <w:pStyle w:val="CellHeader"/>
            </w:pPr>
            <w:r>
              <w:rPr>
                <w:rFonts w:cs="Times New Roman"/>
              </w:rPr>
              <w:t>Ciljana vrijednost (2026.)</w:t>
            </w:r>
          </w:p>
        </w:tc>
        <w:tc>
          <w:tcPr>
            <w:tcW w:w="918" w:type="dxa"/>
            <w:shd w:val="clear" w:color="auto" w:fill="B5C0D8"/>
          </w:tcPr>
          <w:p w:rsidR="006D79F3" w:rsidRDefault="00067C92">
            <w:pPr>
              <w:pStyle w:val="CellHeader"/>
            </w:pPr>
            <w:r>
              <w:rPr>
                <w:rFonts w:cs="Times New Roman"/>
              </w:rPr>
              <w:t>Ciljana vrijednost (2027.)</w:t>
            </w:r>
          </w:p>
        </w:tc>
        <w:tc>
          <w:tcPr>
            <w:tcW w:w="918" w:type="dxa"/>
            <w:shd w:val="clear" w:color="auto" w:fill="B5C0D8"/>
          </w:tcPr>
          <w:p w:rsidR="006D79F3" w:rsidRDefault="00067C92">
            <w:pPr>
              <w:pStyle w:val="CellHeader"/>
            </w:pPr>
            <w:r>
              <w:rPr>
                <w:rFonts w:cs="Times New Roman"/>
              </w:rPr>
              <w:t>Ciljana vrijednost (2028.)</w:t>
            </w:r>
          </w:p>
        </w:tc>
      </w:tr>
      <w:tr w:rsidR="006D79F3">
        <w:trPr>
          <w:jc w:val="center"/>
        </w:trPr>
        <w:tc>
          <w:tcPr>
            <w:tcW w:w="2245" w:type="dxa"/>
          </w:tcPr>
          <w:p w:rsidR="006D79F3" w:rsidRDefault="00067C92">
            <w:pPr>
              <w:pStyle w:val="CellColumn"/>
            </w:pPr>
            <w:r>
              <w:rPr>
                <w:rFonts w:cs="Times New Roman"/>
              </w:rPr>
              <w:t>Postotak odrađenih tehničkih i ekonomskih analiza</w:t>
            </w:r>
          </w:p>
        </w:tc>
        <w:tc>
          <w:tcPr>
            <w:tcW w:w="2245" w:type="dxa"/>
          </w:tcPr>
          <w:p w:rsidR="006D79F3" w:rsidRDefault="00067C92">
            <w:pPr>
              <w:pStyle w:val="CellColumn"/>
            </w:pPr>
            <w:r>
              <w:rPr>
                <w:rFonts w:cs="Times New Roman"/>
              </w:rPr>
              <w:t>APPRRR provodi delegiranu funkciju tehničkih i ekonomskih analiza zahtjeva za potpore u ribarstvu</w:t>
            </w:r>
          </w:p>
        </w:tc>
        <w:tc>
          <w:tcPr>
            <w:tcW w:w="918" w:type="dxa"/>
          </w:tcPr>
          <w:p w:rsidR="006D79F3" w:rsidRDefault="00067C92">
            <w:pPr>
              <w:pStyle w:val="CellColumn"/>
            </w:pPr>
            <w:r>
              <w:rPr>
                <w:rFonts w:cs="Times New Roman"/>
              </w:rPr>
              <w:t>%</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APPRRR</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c>
          <w:tcPr>
            <w:tcW w:w="918" w:type="dxa"/>
          </w:tcPr>
          <w:p w:rsidR="006D79F3" w:rsidRDefault="00067C92">
            <w:pPr>
              <w:pStyle w:val="CellColumn"/>
            </w:pPr>
            <w:r>
              <w:rPr>
                <w:rFonts w:cs="Times New Roman"/>
              </w:rPr>
              <w:t>100</w:t>
            </w:r>
          </w:p>
        </w:tc>
      </w:tr>
    </w:tbl>
    <w:p w:rsidR="006D79F3" w:rsidRDefault="006D79F3">
      <w:pPr>
        <w:jc w:val="left"/>
      </w:pPr>
    </w:p>
    <w:sectPr w:rsidR="006D79F3"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E45" w:rsidRDefault="007A7E45" w:rsidP="00F352E6">
      <w:r>
        <w:separator/>
      </w:r>
    </w:p>
  </w:endnote>
  <w:endnote w:type="continuationSeparator" w:id="0">
    <w:p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898" w:rsidRPr="00D769ED" w:rsidRDefault="009A27A2"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E45" w:rsidRDefault="007A7E45" w:rsidP="00F352E6">
      <w:r>
        <w:separator/>
      </w:r>
    </w:p>
  </w:footnote>
  <w:footnote w:type="continuationSeparator" w:id="0">
    <w:p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898" w:rsidRDefault="009A27A2"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C76"/>
    <w:rsid w:val="00013A1A"/>
    <w:rsid w:val="0002533C"/>
    <w:rsid w:val="000352D6"/>
    <w:rsid w:val="00067C92"/>
    <w:rsid w:val="000C0A6C"/>
    <w:rsid w:val="0010779D"/>
    <w:rsid w:val="0013155A"/>
    <w:rsid w:val="0017490A"/>
    <w:rsid w:val="001E5246"/>
    <w:rsid w:val="0027042C"/>
    <w:rsid w:val="00311AA1"/>
    <w:rsid w:val="00382225"/>
    <w:rsid w:val="00386953"/>
    <w:rsid w:val="00463609"/>
    <w:rsid w:val="00480C76"/>
    <w:rsid w:val="004C01B5"/>
    <w:rsid w:val="0052289C"/>
    <w:rsid w:val="00524A66"/>
    <w:rsid w:val="00526A7C"/>
    <w:rsid w:val="005A70C0"/>
    <w:rsid w:val="005B6ED7"/>
    <w:rsid w:val="005E2D85"/>
    <w:rsid w:val="00633683"/>
    <w:rsid w:val="00674346"/>
    <w:rsid w:val="006B3283"/>
    <w:rsid w:val="006D79F3"/>
    <w:rsid w:val="007665AA"/>
    <w:rsid w:val="007A7E45"/>
    <w:rsid w:val="007D1C46"/>
    <w:rsid w:val="007D395B"/>
    <w:rsid w:val="007D4430"/>
    <w:rsid w:val="00847495"/>
    <w:rsid w:val="008636E2"/>
    <w:rsid w:val="008A7E2A"/>
    <w:rsid w:val="009359F2"/>
    <w:rsid w:val="0094382E"/>
    <w:rsid w:val="00951B1A"/>
    <w:rsid w:val="009A27A2"/>
    <w:rsid w:val="009E33D3"/>
    <w:rsid w:val="00A021A2"/>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577BF6E"/>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23FFD-E64B-4DB2-AAD9-2B212D865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7144</Words>
  <Characters>40723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Gordana Ivašković</cp:lastModifiedBy>
  <cp:revision>3</cp:revision>
  <dcterms:created xsi:type="dcterms:W3CDTF">2025-10-31T12:02:00Z</dcterms:created>
  <dcterms:modified xsi:type="dcterms:W3CDTF">2025-12-12T11:23:00Z</dcterms:modified>
</cp:coreProperties>
</file>